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68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70334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 w14:paraId="3594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color w:val="FFFFFF"/>
          <w:spacing w:val="0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41910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85pt;margin-top:3.3pt;height:0pt;width:468pt;z-index:251660288;mso-width-relative:page;mso-height-relative:page;" filled="f" stroked="f" coordsize="21600,21600" o:gfxdata="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KWIlI0wAAAAcBAAAP&#10;AAAAAAAAAAEAIAAAACIAAABkcnMvZG93bnJldi54bWxQSwECFAAUAAAACACHTuJAHJuLYasBAAA5&#10;AwAADgAAAAAAAAABACAAAAAiAQAAZHJzL2Uyb0RvYy54bWxQSwUGAAAAAAYABgBZAQAAPwUAAAAA&#10;">
                <v:fill on="f" focussize="0,0"/>
                <v:stroke on="f"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关于印发《宿州市制造业提质扩量增效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2321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行动计划2023年工作要点》的通知</w:t>
      </w:r>
    </w:p>
    <w:p w14:paraId="6B508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宿工组办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 w14:paraId="3E6BA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44" w:firstLineChars="200"/>
        <w:jc w:val="center"/>
        <w:textAlignment w:val="auto"/>
        <w:rPr>
          <w:rFonts w:hint="default" w:ascii="Times New Roman" w:hAnsi="Times New Roman" w:eastAsia="方正小标宋_GBK" w:cs="Times New Roman"/>
          <w:spacing w:val="-9"/>
          <w:sz w:val="44"/>
          <w:szCs w:val="44"/>
          <w:lang w:eastAsia="zh-CN"/>
        </w:rPr>
      </w:pPr>
    </w:p>
    <w:p w14:paraId="67692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各县区人民政府、市直有关单位：</w:t>
      </w:r>
    </w:p>
    <w:p w14:paraId="41C79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1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eastAsia="zh-CN"/>
        </w:rPr>
        <w:t>为深入贯彻落实市委、市政府有关决策部署，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  <w:t>进一步推深做实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eastAsia="zh-CN"/>
        </w:rPr>
        <w:t>我市制造业提质扩量增效</w:t>
      </w:r>
      <w:r>
        <w:rPr>
          <w:rFonts w:hint="eastAsia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  <w:t>2321</w:t>
      </w:r>
      <w:r>
        <w:rPr>
          <w:rFonts w:hint="eastAsia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eastAsia="zh-CN"/>
        </w:rPr>
        <w:t>行动计划，现将《宿州市制造业提质扩量增效</w:t>
      </w:r>
      <w:r>
        <w:rPr>
          <w:rFonts w:hint="eastAsia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  <w:t>2321</w:t>
      </w:r>
      <w:r>
        <w:rPr>
          <w:rFonts w:hint="eastAsia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eastAsia="zh-CN"/>
        </w:rPr>
        <w:t>行动计划2023年工作要点》印发你们，请结合实际，抓好工作落实。</w:t>
      </w:r>
    </w:p>
    <w:p w14:paraId="309AA5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259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宿州市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eastAsia="zh-CN"/>
        </w:rPr>
        <w:t>制造业提质扩量增效</w:t>
      </w:r>
      <w:r>
        <w:rPr>
          <w:rFonts w:hint="default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  <w:t>2321</w:t>
      </w:r>
      <w:r>
        <w:rPr>
          <w:rFonts w:hint="default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eastAsia="zh-CN"/>
        </w:rPr>
        <w:t>行动计划</w:t>
      </w: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  <w:t>2023年工作</w:t>
      </w:r>
    </w:p>
    <w:p w14:paraId="1860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7"/>
          <w:kern w:val="0"/>
          <w:sz w:val="32"/>
          <w:szCs w:val="32"/>
          <w:lang w:val="en-US" w:eastAsia="zh-CN"/>
        </w:rPr>
        <w:t>要点</w:t>
      </w:r>
    </w:p>
    <w:p w14:paraId="1CD2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56FA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429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宿州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市工业强市推进工作领导小组办公室</w:t>
      </w:r>
    </w:p>
    <w:p w14:paraId="4698F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 w14:paraId="07B5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40C4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 w14:paraId="201F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</w:p>
    <w:p w14:paraId="3F05B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宿州市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制造业提质扩量增效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2321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行动计划</w:t>
      </w:r>
    </w:p>
    <w:p w14:paraId="4293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2023年工作要点</w:t>
      </w:r>
    </w:p>
    <w:p w14:paraId="62AE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</w:p>
    <w:p w14:paraId="287BD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年是全面贯彻落实党的二十大精神的开局之年，是实施“十四五”规划承上启下的关键之年。推动制造业高质量发展，要坚持以习近平新时代中国特色社会主义思想为指导，深入贯彻党的二十大和省市委全会精神，以深化提质扩量增效</w:t>
      </w:r>
      <w:r>
        <w:rPr>
          <w:rFonts w:hint="default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2321</w:t>
      </w:r>
      <w:r>
        <w:rPr>
          <w:rFonts w:hint="default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行动为抓手，推动工业经济运行整体好转，实现质的有效提升和量的合理增长，为全面建设现代化新宿州贡献更大力量。</w:t>
      </w:r>
    </w:p>
    <w:p w14:paraId="7DB45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一、全面提升发展质量</w:t>
      </w:r>
    </w:p>
    <w:p w14:paraId="27C0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（一）强化优质企业培育。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实施专精特新培育行动，动态调整专精特新企业培育库，力争新培育国家级专精特新</w:t>
      </w:r>
      <w:r>
        <w:rPr>
          <w:rFonts w:hint="default" w:ascii="方正仿宋_GBK" w:hAnsi="方正仿宋_GBK" w:eastAsia="方正仿宋_GBK" w:cs="方正仿宋_GBK"/>
          <w:color w:val="000000"/>
          <w:spacing w:val="-7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企业2家、省级专精特新冠军企业5家、省级专精特新企业15家。推动更多优质企业进入资本市场，加大专精特新企业培育上市力度，力争新增省区域性股权市场“专精特新版”挂牌企业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6家左右。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(市经济和信息化局、市科技局、市财政局、市地方金融监管局、人行宿州市中心支行、宿州银保监分局按职责分工负责；各县区人民政府、市管园区管委会为责任主体，下同)</w:t>
      </w:r>
    </w:p>
    <w:p w14:paraId="0C3A9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（二）优化产业生态布局。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围绕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5+5+N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产业布局，实施优势产业强链、成长产业延链、新兴产业补链工程，加快打造轻工产业、绿色食品产业2个千亿级产业集群，县域将着力培育家居建材、医药化工、装备制造、轴承制造、汽车零部件等百亿级产业集群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新建省级产品质量提升示范区2个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。促进省级云计算战新基地集聚发展，加快8个市级战新基地建设，动态培育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链主型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企业，力争新增战略性新兴产业企业20家以上。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(市发展改革委、市经济和信息化局、市市场监管局、市十大重点产业专班牵头单位按职责分工负责)</w:t>
      </w:r>
    </w:p>
    <w:p w14:paraId="2D90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（三）推进创新平台建设。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好用好中科大技术转移宿州分中心、中国矿大宿州埇桥科技园、南农大宿州现代农业研究院等平台，对接合肥、上海张江综合性科学中心及G60科创走廊取得突破性进展。加快科技成果转化应用体系建设，构建政府引导以企业为主体的创新生态，支持骨干企业建立新型研发中心，新认定市级企业技术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15家，培育省级企业技术中心3-5家，省技术创新示范企业2-3家，争创国家技术创新示范企业。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(市科技局、市发展改革委、市经济和信息化局、市财政局、市农业农村局、市人力资源社会保障局按职责分工负责)</w:t>
      </w:r>
    </w:p>
    <w:p w14:paraId="74860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（四）加强核心技术攻坚。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深入实施科技创新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151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工程，滚动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实施“工业强基”和“揭榜挂帅”技术攻关项目，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开展高新技术企业三年倍增行动、全社会研发投入强度提升行动，力争省市级高层次科技人才团队突破35个。聚焦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企业出题、科技答题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，举办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1-2场政产学研对接活动。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(市科技局、市发展改革委、市经济和信息化局按职责分工负责)</w:t>
      </w:r>
    </w:p>
    <w:p w14:paraId="0363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（五）推动科技成果应用。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建设集企业技术需求与科研院所技术成果征集、发布、对接于一体的产学研合作平台，推动建设安徽科技大市场宿州分会场，组织企业参加2023年中国(安徽)科交会。发挥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三首一保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政策激励作用，引导企业对标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产品研制需求清单研发新产品，新增“首台套”装备3个左右、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首批次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新材料3个左右、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首版次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软件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个左右。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(市科技局、市经济和信息化局按职责分工负责)</w:t>
      </w:r>
    </w:p>
    <w:p w14:paraId="1E2CB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（六）加快数字转型赋能。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实施中小企业数字化普及工程，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支持龙头骨干企业实施全要素、全流程、全生态数字化改造，打造省级数字化转型典型示范项目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个，培育省级智能工厂和数字化车间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家左右，推广工业机器人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台左右，争创省级数字领航企业。坚持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一区一业一样本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，推动全市省级以上工业园区整体数字化转型，争创省级数字化改造区域样本。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(市经济和信息化局负责)</w:t>
      </w:r>
    </w:p>
    <w:p w14:paraId="27E88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（七）推动工业互联网应用。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好省级羚羊、市级绿色家居建材等工业互联网平台，加强工业互联网场景应用和生态培育，带动产业链上下游企业开展数字化转型。完善企业工业互联网建设梯次培育项目，组织开展5G专网建设和应用创新，开展两化融合发展水平评估诊断，推动重点企业搭建企业级工业互联网平台5个，建设工业互联网应用场景50个。加大互联网人才培育，组织开展工业互联网专项培训5次以上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(市经济和信息化局、市人力资源社会保障局、市财政局、市数据资源局按职责分工负责)</w:t>
      </w:r>
    </w:p>
    <w:p w14:paraId="18AAA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（八）推进质量品牌建设。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实施增品种、提品质、创品牌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战略，引导企业构建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+研发+用户体验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的创新设计体系，加快产品升级换代，打造以技术、标准、品牌、服务为核心的质量优势，培育省级工业设计中心2个以上、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省级信息消费体验中心3个以上、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省级新产品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个以上、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安徽工业精品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个以上、省级信息消费创新产品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10个以上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，认定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企业2家以上。以标准抢占行业话语权，支持企业参与制修订国家、行业和地方标准，力争制修订国家标准1项、行业标准2项，建设省级标准化技术委员会1个、国家级标准化示范试点项目1个，省级标准化示范试点项目2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培育标准化示范企业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家。深入实施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464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高质量发展行动，加快推进宿州家具、人造板和预制菜质检中心建设，力争新增各类政府质量奖3个、皖美品牌认证3个、食安安徽认证2个、中国质量奖提名奖1个。开展区域质量提升行动，推进省级质量强县（区）全覆盖，积极筹办质量强省建设宿州现场会，力争省政府质量工作督查激励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(市经济和信息化局、市市场监管局按职责分工负责)</w:t>
      </w:r>
    </w:p>
    <w:p w14:paraId="2D52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二、合理扩大规模总量</w:t>
      </w:r>
    </w:p>
    <w:p w14:paraId="732E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（九）强化市场主体培育。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实施民营经济上台阶行动，推进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载体建设，加快构建创新创业发展高地，争创省级小微企业创业创新示范基地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个、省级中小企业公共服务示范平台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个以上；组织参与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创客中国创响中国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"“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赢在江淮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安徽大赛、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中国创新创业大赛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安徽大赛、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大学生创新创业大赛等竞赛活动；紧盯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小升规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规提质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，增大规模以上制造业企业数量，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力争新登记注册企业2万户以上，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新增规模以上工业企业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家，高新技术企业达到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家以上。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(市科技局、市经济和信息化局、市人力资源社会保障局、市市场监管局按职责分工负责)</w:t>
      </w:r>
    </w:p>
    <w:p w14:paraId="2249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（十）聚力扩大有效投资。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完善落实十大重点产业“双招双引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链长制，补充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两库三图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，动态、升维承接长三角、珠三角优质要素溢出和产业转移。实行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赛马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制度，加强对总投资超10亿元制造业项目洽谈、签约、开工的调度考核，力争市落户百亿级制造业项目1个以上，各县区、园区落户50亿级制造业项目1个以上、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10亿级制造业项目2个以上、1亿级制造业项目20个以上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。持续实施制造强市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1525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重点技改行动计划，加快推进200项重点技改项目和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四化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改造项目，技改投资增长18%。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(市发展改革委、市经济和信息化局、市投资促进中心、市十大重点产业专班牵头单位按职责分工负责)</w:t>
      </w:r>
    </w:p>
    <w:p w14:paraId="09106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（十一）培育壮大优势产业。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围绕十大重点产业，落实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链长制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工作方案，持续探索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+链主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协同推进机制，构建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龙头企业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+配套企业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下游共同体生态圈。鼓励支持各县区（园区）发挥资源禀赋、产业基础、技术创新等综合优势积极发展主导产业。推动传统产业转型升级，提升高端化、智能化、绿色化水平,努力把新兴产业打造成优势产业和增长主动能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(市发展改革委、 市经济和信息化局、市十大重点产业专班牵头单位按职责分工负责)</w:t>
      </w:r>
    </w:p>
    <w:p w14:paraId="4B87C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（十二）加速推进融合发展。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推进制造业和服务业深度融合，发展柔性定制、总集成总承包、供应链管理、产品全生命周期管理等服务型制造新业态新模式，新增省级服务型制造示范企业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家以上。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皖企登云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提质扩面行动，实现300家以上企业与云资源深度对接。推进建设轻纺鞋服智能化产业基地、绿色家居生产制造基地、造纸及纸制品后加工基地，市级绿色家居建材工业互联网平台注册企业达到150家以上。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(市发展改革委、市经济和信息化局、市财政局按职责分工负责)</w:t>
      </w:r>
    </w:p>
    <w:p w14:paraId="048F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三、着力提高发展效益</w:t>
      </w:r>
    </w:p>
    <w:p w14:paraId="646F6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（十三）推进绿色节能发展。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坚决遏制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两高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盲目发展，依法依规推进淘汰落后产能，积极推进清洁生产改造和重点领域节能降碳。探索建设用能权、碳排放权交易市场，推动产业、能源清洁低碳转型，培育壮大循环经济、清洁能源等绿色新产业新业态。开展节能环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五个一百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”提升行动，全面提升绿色制造水平，争取培育一批绿色工业园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区、绿色供应链管理企业及能（水）效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领跑者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企业，新增省级绿色工厂2家。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(市发展改革委、市经济和信息化局、市生态环境局按职责分工负贵) </w:t>
      </w:r>
    </w:p>
    <w:p w14:paraId="7B86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（十四）深化“亩均论英雄”改革。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化亩均效益评价指标体系，完善评价办法，拓展评价范围，将研发经费投入强度、单位能耗营业收入、全员劳动生产率纳入评价主要指标，全面推开占地5亩以上规下工业企业亩均效益评价，探索开展服务业、工业园区和产业示范基地试点评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实施“亩均效益领跑者行动”，科学制定评选办法，根据企业规模、行业类别，从不同维度评选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亩均效益领跑者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持续巩固金融支持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亩均论英雄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改革成果，大力推广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亩均英雄贷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金融服务模式，指导萧县和中国银行宿州分行开展结对服务，争创示范单位。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(市发展改革委、市经济和信息化局、市自然资源局按职责分工负责)</w:t>
      </w:r>
    </w:p>
    <w:p w14:paraId="0276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（十五）支持企业降本增效。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聚焦原料供应、工艺技术、设备设施、产品销售各环节提质量，降成本，支持企业借助信息化手段，提升企业现代化管理水平。出台工业企业提质降本相关政策，鼓励支持企业大力开拓市场，强化生产要素保障，持续降低企业用能、用水、用地、用工、交通物流及制度性交易成本。持续开展政银企对接活动，指导银行机构合理确定贷款利率和服务价格，有效控制制造业企业的贷款成本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(市发展改革委、市经济和信息化局、市财政局、市人力资源社会保障局、市地方金融监管局、市交通运输局、宿州银保监分局按职责分工负责)</w:t>
      </w:r>
    </w:p>
    <w:p w14:paraId="6BF9C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四、提升助企服务质量</w:t>
      </w:r>
    </w:p>
    <w:p w14:paraId="125F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（十六）强化要素保障。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持续开展批而未供、闲置土地专项整治工作，科学合理确定低效工业用地整治范围和目标，不断盘活存量和闲置低效用地，提高土地利用水平。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联动推行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标准地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改革，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促进土地资源节约集约利用，减少企业投资项目开工前审批环节、缩短审批时间，新增产业用地以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标准地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方式出让比例超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。围绕人才、科技、金融、产能等要素开展线上线下对接活动，支持优质企业、项目获得最优资源要素。统筹安排2023年制造强市政策资金，科学创新支持方式，推动制造业高端化智能化绿色化发展。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(市经济和信息化局、市财政局、市自然资源局、市地方金融監管局、人行宿州市中心支行、宿州银保监分局按职责分工负责)</w:t>
      </w:r>
    </w:p>
    <w:p w14:paraId="4075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（十七）发挥平台作用。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组织参加世界制造业大会、世界集成电路大会、世界声博会等展会，支持企业开展产品推介和论坛合作。发挥商协会桥梁纽带作用，支持商协会开展重大问题研究、协助行业管理、推动行业交流合作等工作。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(市经济和信息化局、市市场监管局按职责分工负责)</w:t>
      </w:r>
    </w:p>
    <w:p w14:paraId="04366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（十八）优化营商环境。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持续推进营商环境对标沪苏浙专项行动，落实《宿州市优化营商环境条例》，常态化开展一月一次企业家沙龙及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四接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活动，优化提升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宿事速办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平台。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贯彻落实国家、省市各类减税降费支持政策，进一步健全防范和化解拖欠民营企业中小企业账款长效机制，组织开展涉企违规收费专项整治行动。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深化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互联网+政务服务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，持续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贯彻落实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一改两为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要求，优化政务服务流程，健全政务公开、领导干部联系重点企业等制度，构建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亲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而有度、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而有为的政商关系。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完善涉企政策制定机制，力行惠企政策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免申即享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即申即享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，真正让国企敢干、民企敢闯、外企敢投。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(市政府办公室、市发展改革委、市经济和信息化局、市财政局、市数据资源局、市政务服务局按职责分工负责)</w:t>
      </w:r>
    </w:p>
    <w:p w14:paraId="6F47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五、健全完善保障措施</w:t>
      </w:r>
    </w:p>
    <w:p w14:paraId="092B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（十九）健全协调调度机制。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建立健全科学合理、精准有效的行动计划推进体制机制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常态化开展工作要点实施情况评估调度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调度主要采取集中开工、现场观摩、领导点评、部门通报等方式。市政府负责同志每月调度一次，采取会议方式点评主要指标完成情况，听取各地各部门工作推进情况；市政府主要负责同志每季度调度一次，选取一个县区（园区）采取现场观摩（集中开工）＋会议调度方式；每半年进行一次评比通报；年末进行年度考核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(市工业强市推进工作领导小组办公室负责)</w:t>
      </w:r>
    </w:p>
    <w:p w14:paraId="5C23A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（二十）完善考核评价体系。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发挥考核评价的指挥棒作用，争取把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2321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行动计划有关指标纳入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政府对各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县区（园区）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的年度目标管理绩效考核;对各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县区（园区）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行动计划实施情况进行年度综合评价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，择优推荐制造业提质扩量增效明显地区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(市工业强市推进工作领导小组办公室负责)</w:t>
      </w:r>
    </w:p>
    <w:p w14:paraId="790567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</w:p>
    <w:p w14:paraId="5EBE7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附表：制造业提质增量扩效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2321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行动计划2023年度重点目标任务分解清单</w:t>
      </w:r>
    </w:p>
    <w:p w14:paraId="1A217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178AC"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84C60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084C60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E77E08A">
    <w:pPr>
      <w:pStyle w:val="8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宿州市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经济和信息化局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101C7398"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CF016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945CE3C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宿州市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经济和信息化局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WVhOTFjMTAwMGMyYWNhZDJiNzk0YTlhMTQ1OWUifQ=="/>
  </w:docVars>
  <w:rsids>
    <w:rsidRoot w:val="00172A27"/>
    <w:rsid w:val="01711CB4"/>
    <w:rsid w:val="019E71BD"/>
    <w:rsid w:val="02FF4955"/>
    <w:rsid w:val="04B679C3"/>
    <w:rsid w:val="05E451B5"/>
    <w:rsid w:val="080F63D8"/>
    <w:rsid w:val="09341458"/>
    <w:rsid w:val="0B0912D7"/>
    <w:rsid w:val="0C227ABB"/>
    <w:rsid w:val="0CA55C90"/>
    <w:rsid w:val="118728A6"/>
    <w:rsid w:val="152D2DCA"/>
    <w:rsid w:val="1A2170CF"/>
    <w:rsid w:val="1DA426D4"/>
    <w:rsid w:val="1DEC284C"/>
    <w:rsid w:val="1E6523AC"/>
    <w:rsid w:val="220B638C"/>
    <w:rsid w:val="22440422"/>
    <w:rsid w:val="2B9D5163"/>
    <w:rsid w:val="31A15F24"/>
    <w:rsid w:val="36911DB5"/>
    <w:rsid w:val="395347B5"/>
    <w:rsid w:val="39A232A0"/>
    <w:rsid w:val="39E745AA"/>
    <w:rsid w:val="3B5A6BBB"/>
    <w:rsid w:val="3E1C6FD2"/>
    <w:rsid w:val="3EDA13A6"/>
    <w:rsid w:val="42F058B7"/>
    <w:rsid w:val="436109F6"/>
    <w:rsid w:val="441A38D4"/>
    <w:rsid w:val="45C153A4"/>
    <w:rsid w:val="47A1129D"/>
    <w:rsid w:val="4BC77339"/>
    <w:rsid w:val="4C9236C5"/>
    <w:rsid w:val="4DEA6AA2"/>
    <w:rsid w:val="4F46264C"/>
    <w:rsid w:val="4FE51AA7"/>
    <w:rsid w:val="4FFF755F"/>
    <w:rsid w:val="505C172E"/>
    <w:rsid w:val="52F46F0B"/>
    <w:rsid w:val="53D8014D"/>
    <w:rsid w:val="53FD1143"/>
    <w:rsid w:val="55E064E0"/>
    <w:rsid w:val="572C6D10"/>
    <w:rsid w:val="59253B4C"/>
    <w:rsid w:val="5CA020C4"/>
    <w:rsid w:val="5DC34279"/>
    <w:rsid w:val="5DC51367"/>
    <w:rsid w:val="5EB52D3F"/>
    <w:rsid w:val="5F6D26AA"/>
    <w:rsid w:val="608816D1"/>
    <w:rsid w:val="60EF4E7F"/>
    <w:rsid w:val="61DE5373"/>
    <w:rsid w:val="64A01811"/>
    <w:rsid w:val="665233C1"/>
    <w:rsid w:val="6AD9688B"/>
    <w:rsid w:val="6C516842"/>
    <w:rsid w:val="6D0E3F22"/>
    <w:rsid w:val="70BC57B2"/>
    <w:rsid w:val="7143439E"/>
    <w:rsid w:val="78F148D9"/>
    <w:rsid w:val="79BF7377"/>
    <w:rsid w:val="7C1D1542"/>
    <w:rsid w:val="7C9011D9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1"/>
    <w:autoRedefine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line="595" w:lineRule="atLeast"/>
      <w:ind w:left="1"/>
    </w:pPr>
    <w:rPr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5063</Words>
  <Characters>5193</Characters>
  <Lines>1</Lines>
  <Paragraphs>1</Paragraphs>
  <TotalTime>35</TotalTime>
  <ScaleCrop>false</ScaleCrop>
  <LinksUpToDate>false</LinksUpToDate>
  <CharactersWithSpaces>5215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尼古拉斯赵四</cp:lastModifiedBy>
  <cp:lastPrinted>2021-10-26T03:30:00Z</cp:lastPrinted>
  <dcterms:modified xsi:type="dcterms:W3CDTF">2024-10-09T07:52:47Z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1F5781A5A1C94BDFB53BAFE332D4E0C4_13</vt:lpwstr>
  </property>
</Properties>
</file>