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D4A2C8">
      <w:pPr>
        <w:pStyle w:val="14"/>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jc w:val="center"/>
        <w:textAlignment w:val="auto"/>
        <w:rPr>
          <w:rStyle w:val="13"/>
          <w:rFonts w:hint="eastAsia" w:ascii="方正小标宋_GBK" w:hAnsi="方正小标宋_GBK" w:eastAsia="方正小标宋_GBK" w:cs="方正小标宋_GBK"/>
          <w:b w:val="0"/>
          <w:kern w:val="2"/>
          <w:sz w:val="44"/>
          <w:szCs w:val="44"/>
          <w:shd w:val="clear" w:color="auto" w:fill="FFFFFF"/>
          <w:lang w:val="en-US" w:eastAsia="zh-CN" w:bidi="ar-SA"/>
        </w:rPr>
      </w:pPr>
    </w:p>
    <w:p w14:paraId="3BDF3B22">
      <w:pPr>
        <w:pStyle w:val="14"/>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jc w:val="center"/>
        <w:textAlignment w:val="auto"/>
        <w:rPr>
          <w:rStyle w:val="13"/>
          <w:rFonts w:hint="eastAsia" w:ascii="方正小标宋_GBK" w:hAnsi="方正小标宋_GBK" w:eastAsia="方正小标宋_GBK" w:cs="方正小标宋_GBK"/>
          <w:b w:val="0"/>
          <w:kern w:val="2"/>
          <w:sz w:val="44"/>
          <w:szCs w:val="44"/>
          <w:shd w:val="clear" w:color="auto" w:fill="FFFFFF"/>
          <w:lang w:val="en-US" w:eastAsia="zh-CN" w:bidi="ar-SA"/>
        </w:rPr>
      </w:pPr>
    </w:p>
    <w:p w14:paraId="449B61C4">
      <w:pPr>
        <w:pStyle w:val="14"/>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jc w:val="center"/>
        <w:textAlignment w:val="auto"/>
        <w:rPr>
          <w:rStyle w:val="13"/>
          <w:rFonts w:hint="eastAsia" w:ascii="方正小标宋_GBK" w:hAnsi="方正小标宋_GBK" w:eastAsia="方正小标宋_GBK" w:cs="方正小标宋_GBK"/>
          <w:b w:val="0"/>
          <w:kern w:val="2"/>
          <w:sz w:val="44"/>
          <w:szCs w:val="44"/>
          <w:shd w:val="clear" w:color="auto" w:fill="FFFFFF"/>
          <w:lang w:val="en-US" w:eastAsia="zh-CN" w:bidi="ar-SA"/>
        </w:rPr>
      </w:pPr>
      <w:r>
        <w:rPr>
          <w:rStyle w:val="13"/>
          <w:rFonts w:hint="eastAsia" w:ascii="方正小标宋_GBK" w:hAnsi="方正小标宋_GBK" w:eastAsia="方正小标宋_GBK" w:cs="方正小标宋_GBK"/>
          <w:b w:val="0"/>
          <w:kern w:val="2"/>
          <w:sz w:val="44"/>
          <w:szCs w:val="44"/>
          <w:shd w:val="clear" w:color="auto" w:fill="FFFFFF"/>
          <w:lang w:val="en-US" w:eastAsia="zh-CN" w:bidi="ar-SA"/>
        </w:rPr>
        <w:t>关于印发《宿州市2021年生活无着人员</w:t>
      </w:r>
    </w:p>
    <w:p w14:paraId="2BE71822">
      <w:pPr>
        <w:pStyle w:val="14"/>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jc w:val="center"/>
        <w:textAlignment w:val="auto"/>
        <w:rPr>
          <w:rStyle w:val="13"/>
          <w:rFonts w:hint="eastAsia" w:ascii="方正小标宋_GBK" w:hAnsi="方正小标宋_GBK" w:eastAsia="方正小标宋_GBK" w:cs="方正小标宋_GBK"/>
          <w:b w:val="0"/>
          <w:kern w:val="2"/>
          <w:sz w:val="44"/>
          <w:szCs w:val="44"/>
          <w:shd w:val="clear" w:color="auto" w:fill="FFFFFF"/>
          <w:lang w:val="en-US" w:eastAsia="zh-CN" w:bidi="ar-SA"/>
        </w:rPr>
      </w:pPr>
      <w:r>
        <w:rPr>
          <w:rStyle w:val="13"/>
          <w:rFonts w:hint="eastAsia" w:ascii="方正小标宋_GBK" w:hAnsi="方正小标宋_GBK" w:eastAsia="方正小标宋_GBK" w:cs="方正小标宋_GBK"/>
          <w:b w:val="0"/>
          <w:kern w:val="2"/>
          <w:sz w:val="44"/>
          <w:szCs w:val="44"/>
          <w:shd w:val="clear" w:color="auto" w:fill="FFFFFF"/>
          <w:lang w:val="en-US" w:eastAsia="zh-CN" w:bidi="ar-SA"/>
        </w:rPr>
        <w:t>社会救助实施方案》的通知</w:t>
      </w:r>
    </w:p>
    <w:p w14:paraId="10FEA915">
      <w:pPr>
        <w:keepNext w:val="0"/>
        <w:keepLines w:val="0"/>
        <w:pageBreakBefore w:val="0"/>
        <w:suppressAutoHyphens/>
        <w:kinsoku/>
        <w:overflowPunct/>
        <w:topLinePunct w:val="0"/>
        <w:autoSpaceDE/>
        <w:autoSpaceDN/>
        <w:bidi w:val="0"/>
        <w:adjustRightInd/>
        <w:snapToGrid/>
        <w:spacing w:beforeAutospacing="0" w:afterAutospacing="0" w:line="590" w:lineRule="exact"/>
        <w:ind w:left="0" w:leftChars="0" w:right="0" w:rightChars="0"/>
        <w:jc w:val="center"/>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宿民发〔2021〕44号</w:t>
      </w:r>
      <w:bookmarkStart w:id="0" w:name="_GoBack"/>
      <w:bookmarkEnd w:id="0"/>
    </w:p>
    <w:p w14:paraId="5AC5C3E7">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right="0" w:rightChars="0"/>
        <w:jc w:val="left"/>
        <w:textAlignment w:val="auto"/>
        <w:rPr>
          <w:rFonts w:hint="eastAsia" w:ascii="Times New Roman" w:hAnsi="Times New Roman" w:eastAsia="方正仿宋_GBK" w:cs="Times New Roman"/>
          <w:sz w:val="32"/>
          <w:szCs w:val="32"/>
          <w:lang w:val="en-US" w:eastAsia="zh-CN"/>
        </w:rPr>
      </w:pPr>
    </w:p>
    <w:p w14:paraId="248DD281">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right="0" w:rightChars="0"/>
        <w:jc w:val="left"/>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各县（区）民政局、财政局：</w:t>
      </w:r>
    </w:p>
    <w:p w14:paraId="16A49CBE">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现将《宿州市2021年生活无着人员社会救助实施方案》印发给你们，请结合实际认真抓好贯彻落实。</w:t>
      </w:r>
    </w:p>
    <w:p w14:paraId="1162074A">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p>
    <w:p w14:paraId="3B2DA53A">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p>
    <w:p w14:paraId="41106486">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p>
    <w:p w14:paraId="6A76802F">
      <w:pPr>
        <w:keepNext w:val="0"/>
        <w:keepLines w:val="0"/>
        <w:pageBreakBefore w:val="0"/>
        <w:widowControl w:val="0"/>
        <w:suppressAutoHyphens/>
        <w:kinsoku/>
        <w:wordWrap w:val="0"/>
        <w:overflowPunct/>
        <w:topLinePunct w:val="0"/>
        <w:autoSpaceDE/>
        <w:autoSpaceDN/>
        <w:bidi w:val="0"/>
        <w:adjustRightInd/>
        <w:snapToGrid/>
        <w:spacing w:beforeAutospacing="0" w:afterAutospacing="0" w:line="590" w:lineRule="exact"/>
        <w:ind w:left="0" w:leftChars="0" w:right="0" w:rightChars="0" w:firstLine="640" w:firstLineChars="200"/>
        <w:jc w:val="right"/>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 xml:space="preserve">宿州市民政局  </w:t>
      </w:r>
    </w:p>
    <w:p w14:paraId="7E23C24A">
      <w:pPr>
        <w:keepNext w:val="0"/>
        <w:keepLines w:val="0"/>
        <w:pageBreakBefore w:val="0"/>
        <w:widowControl w:val="0"/>
        <w:suppressAutoHyphens/>
        <w:kinsoku/>
        <w:wordWrap w:val="0"/>
        <w:overflowPunct/>
        <w:topLinePunct w:val="0"/>
        <w:autoSpaceDE/>
        <w:autoSpaceDN/>
        <w:bidi w:val="0"/>
        <w:adjustRightInd/>
        <w:snapToGrid/>
        <w:spacing w:beforeAutospacing="0" w:afterAutospacing="0" w:line="590" w:lineRule="exact"/>
        <w:ind w:left="0" w:leftChars="0" w:right="0" w:rightChars="0" w:firstLine="640" w:firstLineChars="200"/>
        <w:jc w:val="right"/>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 xml:space="preserve">宿州市财政局  </w:t>
      </w:r>
    </w:p>
    <w:p w14:paraId="145E876E">
      <w:pPr>
        <w:keepNext w:val="0"/>
        <w:keepLines w:val="0"/>
        <w:pageBreakBefore w:val="0"/>
        <w:widowControl w:val="0"/>
        <w:suppressAutoHyphens/>
        <w:kinsoku/>
        <w:wordWrap w:val="0"/>
        <w:overflowPunct/>
        <w:topLinePunct w:val="0"/>
        <w:autoSpaceDE/>
        <w:autoSpaceDN/>
        <w:bidi w:val="0"/>
        <w:adjustRightInd/>
        <w:snapToGrid/>
        <w:spacing w:beforeAutospacing="0" w:afterAutospacing="0" w:line="590" w:lineRule="exact"/>
        <w:ind w:left="0" w:leftChars="0" w:right="0" w:rightChars="0" w:firstLine="640" w:firstLineChars="200"/>
        <w:jc w:val="right"/>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2021年5月10日</w:t>
      </w:r>
    </w:p>
    <w:p w14:paraId="1A4B8435">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p>
    <w:p w14:paraId="3D079D2E">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p>
    <w:p w14:paraId="08DFCF12">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p>
    <w:p w14:paraId="7024507C">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p>
    <w:p w14:paraId="02B64317">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p>
    <w:p w14:paraId="3A652302">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jc w:val="center"/>
        <w:textAlignment w:val="auto"/>
        <w:rPr>
          <w:rFonts w:hint="eastAsia" w:ascii="方正小标宋_GBK" w:hAnsi="方正小标宋_GBK" w:eastAsia="方正小标宋_GBK" w:cs="方正小标宋_GBK"/>
          <w:kern w:val="0"/>
          <w:sz w:val="44"/>
          <w:szCs w:val="44"/>
          <w:shd w:val="clear" w:color="auto" w:fill="FFFFFF"/>
          <w:lang w:val="en-US" w:eastAsia="zh-CN" w:bidi="ar-SA"/>
        </w:rPr>
      </w:pPr>
    </w:p>
    <w:p w14:paraId="368DBDB0">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jc w:val="center"/>
        <w:textAlignment w:val="auto"/>
        <w:rPr>
          <w:rFonts w:hint="eastAsia" w:ascii="方正小标宋_GBK" w:hAnsi="方正小标宋_GBK" w:eastAsia="方正小标宋_GBK" w:cs="方正小标宋_GBK"/>
          <w:kern w:val="0"/>
          <w:sz w:val="44"/>
          <w:szCs w:val="44"/>
          <w:shd w:val="clear" w:color="auto" w:fill="FFFFFF"/>
          <w:lang w:val="en-US" w:eastAsia="zh-CN" w:bidi="ar-SA"/>
        </w:rPr>
      </w:pPr>
      <w:r>
        <w:rPr>
          <w:rFonts w:hint="eastAsia" w:ascii="方正小标宋_GBK" w:hAnsi="方正小标宋_GBK" w:eastAsia="方正小标宋_GBK" w:cs="方正小标宋_GBK"/>
          <w:kern w:val="0"/>
          <w:sz w:val="44"/>
          <w:szCs w:val="44"/>
          <w:shd w:val="clear" w:color="auto" w:fill="FFFFFF"/>
          <w:lang w:val="en-US" w:eastAsia="zh-CN" w:bidi="ar-SA"/>
        </w:rPr>
        <w:t>宿州市2021年生活无着人员</w:t>
      </w:r>
    </w:p>
    <w:p w14:paraId="55FBAE1A">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jc w:val="center"/>
        <w:textAlignment w:val="auto"/>
        <w:rPr>
          <w:rFonts w:hint="eastAsia" w:ascii="方正小标宋_GBK" w:hAnsi="方正小标宋_GBK" w:eastAsia="方正小标宋_GBK" w:cs="方正小标宋_GBK"/>
          <w:kern w:val="0"/>
          <w:sz w:val="44"/>
          <w:szCs w:val="44"/>
          <w:shd w:val="clear" w:color="auto" w:fill="FFFFFF"/>
          <w:lang w:val="en-US" w:eastAsia="zh-CN" w:bidi="ar-SA"/>
        </w:rPr>
      </w:pPr>
      <w:r>
        <w:rPr>
          <w:rFonts w:hint="eastAsia" w:ascii="方正小标宋_GBK" w:hAnsi="方正小标宋_GBK" w:eastAsia="方正小标宋_GBK" w:cs="方正小标宋_GBK"/>
          <w:kern w:val="0"/>
          <w:sz w:val="44"/>
          <w:szCs w:val="44"/>
          <w:shd w:val="clear" w:color="auto" w:fill="FFFFFF"/>
          <w:lang w:val="en-US" w:eastAsia="zh-CN" w:bidi="ar-SA"/>
        </w:rPr>
        <w:t>社会救助实施方案</w:t>
      </w:r>
    </w:p>
    <w:p w14:paraId="1A3718BE">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p>
    <w:p w14:paraId="54BA91C9">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为切实做好我省生活无着的流浪乞讨人员（以下简称流浪乞讨人员）等流动遇困群众救助工作，巩固文明创建成果，根据省民政厅省财政厅《困难人员救助暨困难职工帮扶实施方案—生活无着人员社会救助实施方案》精神，结合我市实际，制定本方案。</w:t>
      </w:r>
    </w:p>
    <w:p w14:paraId="2FD05071">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一、目标任务</w:t>
      </w:r>
    </w:p>
    <w:p w14:paraId="06890D3B">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通过强化地方党委政府属地管理责任，完善救助管理工作监管责任体系，加强区域和部门救助联动，引导社会力量参与，积极与其他社会保障政策相衔接，加强源头治理和综合施策，预防和减少外出流浪乞讨现象，不断加强和改进我市流浪乞讨人员救助管理工作，及时有效救助流浪乞讨人员，实现流浪乞讨人员应救尽救，切实保障好流浪乞讨人员人身安全和基本生活。</w:t>
      </w:r>
    </w:p>
    <w:p w14:paraId="3DB57E36">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二、实施范围</w:t>
      </w:r>
    </w:p>
    <w:p w14:paraId="0FD109AB">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sz w:val="32"/>
          <w:szCs w:val="32"/>
          <w:lang w:val="en-US" w:eastAsia="zh-CN"/>
        </w:rPr>
        <w:t>（一）救助范围。</w:t>
      </w:r>
      <w:r>
        <w:rPr>
          <w:rFonts w:hint="eastAsia" w:ascii="Times New Roman" w:hAnsi="Times New Roman" w:eastAsia="方正仿宋_GBK" w:cs="Times New Roman"/>
          <w:sz w:val="32"/>
          <w:szCs w:val="32"/>
          <w:lang w:val="en-US" w:eastAsia="zh-CN"/>
        </w:rPr>
        <w:t>离家在外、自身无力解决食宿、正在或即将处于流浪或乞讨状态的人员，包括生活无着的流浪人员和生活无着的乞讨人员。</w:t>
      </w:r>
    </w:p>
    <w:p w14:paraId="2804B1E5">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sz w:val="32"/>
          <w:szCs w:val="32"/>
          <w:lang w:val="en-US" w:eastAsia="zh-CN"/>
        </w:rPr>
        <w:t>（二）救助内容。</w:t>
      </w:r>
      <w:r>
        <w:rPr>
          <w:rFonts w:hint="eastAsia" w:ascii="Times New Roman" w:hAnsi="Times New Roman" w:eastAsia="方正仿宋_GBK" w:cs="Times New Roman"/>
          <w:sz w:val="32"/>
          <w:szCs w:val="32"/>
          <w:lang w:val="en-US" w:eastAsia="zh-CN"/>
        </w:rPr>
        <w:t>根据救助对象实际需求，按照自愿、无偿原则，提供主动救助、生活救助、医疗救治、教育矫治、返乡救助、临时安置、源头预防、反家庭暴力庇护和未成年人社会保护等救助服务。</w:t>
      </w:r>
    </w:p>
    <w:p w14:paraId="30D349E7">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三、资金保障</w:t>
      </w:r>
    </w:p>
    <w:p w14:paraId="3BF6DE24">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年初，市、县级民政、财政部门根据救助管理工作情况，科学合理测算年度流浪乞讨人员救助资金总额，统筹列入年度预算，预算总额扣除上级财政补助后的差额部分由市、县（区）统筹解决。同时，市及县（区）应根据实际需要，安排必要的资金确保救助管理机构正常运转。</w:t>
      </w:r>
    </w:p>
    <w:p w14:paraId="3FC6207B">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四、工作要求</w:t>
      </w:r>
    </w:p>
    <w:p w14:paraId="2CC91209">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sz w:val="32"/>
          <w:szCs w:val="32"/>
          <w:lang w:val="en-US" w:eastAsia="zh-CN"/>
        </w:rPr>
        <w:t>（一）完善领导协调机制。</w:t>
      </w:r>
      <w:r>
        <w:rPr>
          <w:rFonts w:hint="eastAsia" w:ascii="Times New Roman" w:hAnsi="Times New Roman" w:eastAsia="方正仿宋_GBK" w:cs="Times New Roman"/>
          <w:sz w:val="32"/>
          <w:szCs w:val="32"/>
          <w:lang w:val="en-US" w:eastAsia="zh-CN"/>
        </w:rPr>
        <w:t>按照属地管理、分级负责工作要求，结合救助管理服务质量大提升专项行动部署，进一步完善市、县区政府负责同志牵头的流浪乞讨人员救助管理领导协调机制，有效发挥协调机制作用，明确部门职责，加强部门联动，定期召开会议，研究解决辖区内救助管理工作中存在的困难和问题，重大事项和决策向地方党委政府报告。民政部门承担协调部门职责，其他有关部门按照各自职责做好相关工作，纵向到底、横向到边织密编牢流浪乞讨人员救助管理的救助网络和责任体系。</w:t>
      </w:r>
    </w:p>
    <w:p w14:paraId="174367B1">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sz w:val="32"/>
          <w:szCs w:val="32"/>
          <w:lang w:val="en-US" w:eastAsia="zh-CN"/>
        </w:rPr>
        <w:t>（二）强化街面巡查和转介处置机制。</w:t>
      </w:r>
      <w:r>
        <w:rPr>
          <w:rFonts w:hint="eastAsia" w:ascii="Times New Roman" w:hAnsi="Times New Roman" w:eastAsia="方正仿宋_GBK" w:cs="Times New Roman"/>
          <w:sz w:val="32"/>
          <w:szCs w:val="32"/>
          <w:lang w:val="en-US" w:eastAsia="zh-CN"/>
        </w:rPr>
        <w:t>公安机关、城市管理部门和其他有关行政机关要按照职责分工履行街面巡查职责，发现流浪乞讨人员的，应告知其到救助管理机构接受救助。对其中的残疾人、未成年人、老年人和行动不便人员，应护送至救助管理机构，并履行书面交接手续，护送完全民事行为能力人的，应征得其同意。对突发急病人员，应立即通知急救机构，必要时可直接护送至医疗机构进行救治，并及时通知属地救助管理机构到医疗机构甄别其身份。对不愿接受救助的，应告知其救助管理机构联系方式和求助方式，并视情记录劝导情况。对违反治安管理、城市管理等规定的行为，要依规依法处理，有效减少“强行讨要”“职业乞讨”等不文明现象。</w:t>
      </w:r>
    </w:p>
    <w:p w14:paraId="3F3B3B44">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sz w:val="32"/>
          <w:szCs w:val="32"/>
          <w:lang w:val="en-US" w:eastAsia="zh-CN"/>
        </w:rPr>
        <w:t>（三）优化救助服务供给。</w:t>
      </w:r>
      <w:r>
        <w:rPr>
          <w:rFonts w:hint="eastAsia" w:ascii="Times New Roman" w:hAnsi="Times New Roman" w:eastAsia="方正仿宋_GBK" w:cs="Times New Roman"/>
          <w:sz w:val="32"/>
          <w:szCs w:val="32"/>
          <w:lang w:val="en-US" w:eastAsia="zh-CN"/>
        </w:rPr>
        <w:t>救助管理机构应按照要求采取在全国救助寻亲网、今日头条发布寻亲公告，报请公安机关采集DNA比对、采用人像识别等方式方法，切实做好无法查明身份受助人员身份查询和寻亲服务工作。对于在站长期滞留人员，应充分利用现有设施开展照料服务，站内条件不足的，民政部门应优先选择政府举办的社会福利、养老、精神康复等机构承担托养服务。要区分对象身体状况、年龄等情况实施分类托养。要根据托养人员自理能力，参考特困人员基本生活标准、照料护理标准，综合考虑特殊人群的床位费、康复费等各类成本和托养机构合理收益，科学核算托养费用。医疗救治费用由救助管理机构据实结算。</w:t>
      </w:r>
    </w:p>
    <w:p w14:paraId="2F56020C">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sz w:val="32"/>
          <w:szCs w:val="32"/>
          <w:lang w:val="en-US" w:eastAsia="zh-CN"/>
        </w:rPr>
        <w:t>（四）强化落户安置机制。</w:t>
      </w:r>
      <w:r>
        <w:rPr>
          <w:rFonts w:hint="eastAsia" w:ascii="Times New Roman" w:hAnsi="Times New Roman" w:eastAsia="方正仿宋_GBK" w:cs="Times New Roman"/>
          <w:sz w:val="32"/>
          <w:szCs w:val="32"/>
          <w:lang w:val="en-US" w:eastAsia="zh-CN"/>
        </w:rPr>
        <w:t>对无法查明身份受助人员在救助管理机构滞留超过3个月的，要严格按照落户工作要求，维护流浪乞讨人员户口登记的合法权益。对已办理户口登记手续、符合特困人员供养条件的，及时纳入救助供养范围，由救助管理机构转移至当地政府设立的具备相应供养条件和能力的供养服务机构集中供养，属于未成年人的，必须转到儿童福利机构供养，并纳入孤儿基本生活保障范围。</w:t>
      </w:r>
    </w:p>
    <w:p w14:paraId="6C9B4642">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sz w:val="32"/>
          <w:szCs w:val="32"/>
          <w:lang w:val="en-US" w:eastAsia="zh-CN"/>
        </w:rPr>
        <w:t>（五）强化源头治理机制。</w:t>
      </w:r>
      <w:r>
        <w:rPr>
          <w:rFonts w:hint="eastAsia" w:ascii="Times New Roman" w:hAnsi="Times New Roman" w:eastAsia="方正仿宋_GBK" w:cs="Times New Roman"/>
          <w:sz w:val="32"/>
          <w:szCs w:val="32"/>
          <w:lang w:val="en-US" w:eastAsia="zh-CN"/>
        </w:rPr>
        <w:t>要建立返乡人员信息台账，强化返乡人员政策帮扶，为符合条件的落实社会救助、社会福利和社会保险等相关政策。与扶贫部门开展信息共享，对有流浪乞讨经历的予以重点关注和帮扶。及时将受助人员情况报乡（镇、街道）及相关部门，教育、督促其近亲属或其他监护人履行抚养或赡养义务，防止其再次外出流浪。有效建立易流浪人员回访机制，将反复流浪乞讨人员等纳入信息库统一管理，加大回访频率，为其回归稳固创造条件。同时将生活无着的流浪乞讨人员救助管理工作纳入平安建设（综治工作）考核评价体系。</w:t>
      </w:r>
    </w:p>
    <w:p w14:paraId="7D8F1B09">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五、保障措施</w:t>
      </w:r>
    </w:p>
    <w:p w14:paraId="33E00199">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sz w:val="32"/>
          <w:szCs w:val="32"/>
          <w:lang w:val="en-US" w:eastAsia="zh-CN"/>
        </w:rPr>
        <w:t>（一）加强组织领导。</w:t>
      </w:r>
      <w:r>
        <w:rPr>
          <w:rFonts w:hint="eastAsia" w:ascii="Times New Roman" w:hAnsi="Times New Roman" w:eastAsia="方正仿宋_GBK" w:cs="Times New Roman"/>
          <w:sz w:val="32"/>
          <w:szCs w:val="32"/>
          <w:lang w:val="en-US" w:eastAsia="zh-CN"/>
        </w:rPr>
        <w:t>各级党委和政府要高度重视流浪乞讨人员救助管理工作，把流浪乞讨人员救助管理工作作为困难群众保障工作的一项重要内容，履行属地领导管理责任并强化监管，加强对各部门组织领导，凝聚合力，因地制宜做好本地区流浪乞讨人员救助管理工作。要根据各地具体情况、具体研究，积极解决流浪乞讨人员救助管理工作中存在的突出问题，切实做到流浪乞讨人员弱有所扶。</w:t>
      </w:r>
    </w:p>
    <w:p w14:paraId="4CFFB43C">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sz w:val="32"/>
          <w:szCs w:val="32"/>
          <w:lang w:val="en-US" w:eastAsia="zh-CN"/>
        </w:rPr>
        <w:t>（二）强化部门监管。</w:t>
      </w:r>
      <w:r>
        <w:rPr>
          <w:rFonts w:hint="eastAsia" w:ascii="Times New Roman" w:hAnsi="Times New Roman" w:eastAsia="方正仿宋_GBK" w:cs="Times New Roman"/>
          <w:sz w:val="32"/>
          <w:szCs w:val="32"/>
          <w:lang w:val="en-US" w:eastAsia="zh-CN"/>
        </w:rPr>
        <w:t>市县两级民政部门对所辖的救助管理机构承担主要监管责任，完善负责人定点联系制度，定期深入救助管理机构、托养机构、合作医疗机构，开展监督检查和业务指导。对于救助管理机构和托养机构，公安机关、消防机构根据部门职责，依法对其治安、消防工作进行监管；卫生健康部门对其疾病防控和内设医疗机构提供的医疗服务、医疗康复及护理进行监管，根据需要确定定点医疗机构；市场监管部门对其内设食堂的餐饮服务、食品安全和药品安全管理进行监管。财政、审计、人力资源社会保障等部门根据各自职责履行监管责任。</w:t>
      </w:r>
    </w:p>
    <w:p w14:paraId="54AA5A50">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sz w:val="32"/>
          <w:szCs w:val="32"/>
          <w:lang w:val="en-US" w:eastAsia="zh-CN"/>
        </w:rPr>
        <w:t>（三）做好宣传引导。</w:t>
      </w:r>
      <w:r>
        <w:rPr>
          <w:rFonts w:hint="eastAsia" w:ascii="Times New Roman" w:hAnsi="Times New Roman" w:eastAsia="方正仿宋_GBK" w:cs="Times New Roman"/>
          <w:sz w:val="32"/>
          <w:szCs w:val="32"/>
          <w:lang w:val="en-US" w:eastAsia="zh-CN"/>
        </w:rPr>
        <w:t>各地各部门要积极宣传生活无着人员社会救助民生工程政策，注重有效引导社会预期，展现救助管理工作兜底线、救急难的惠民实效。民政部门要密切关注流浪乞讨人员救助管理工作动态和发展趋势，积极组织实施救助管理机构“开放日”活动，并把开放活动范围覆盖到托养机构，主动接受社会监督，听取多方评价，吸取意见建议，探索建立第三方监督机制。救助管理机构要积极引导社会各方力量参与救助服务，进一步优化救助服务供给。</w:t>
      </w:r>
    </w:p>
    <w:p w14:paraId="79346E69">
      <w:pPr>
        <w:keepNext w:val="0"/>
        <w:keepLines w:val="0"/>
        <w:pageBreakBefore w:val="0"/>
        <w:widowControl w:val="0"/>
        <w:suppressAutoHyphens/>
        <w:kinsoku/>
        <w:wordWrap/>
        <w:overflowPunct/>
        <w:topLinePunct w:val="0"/>
        <w:autoSpaceDE/>
        <w:autoSpaceDN/>
        <w:bidi w:val="0"/>
        <w:adjustRightInd/>
        <w:snapToGrid/>
        <w:spacing w:beforeAutospacing="0" w:afterAutospacing="0" w:line="590" w:lineRule="exact"/>
        <w:ind w:left="0" w:leftChars="0" w:right="0" w:righ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sz w:val="32"/>
          <w:szCs w:val="32"/>
          <w:lang w:val="en-US" w:eastAsia="zh-CN"/>
        </w:rPr>
        <w:t>（四）强化责任追究。</w:t>
      </w:r>
      <w:r>
        <w:rPr>
          <w:rFonts w:hint="eastAsia" w:ascii="Times New Roman" w:hAnsi="Times New Roman" w:eastAsia="方正仿宋_GBK" w:cs="Times New Roman"/>
          <w:sz w:val="32"/>
          <w:szCs w:val="32"/>
          <w:lang w:val="en-US" w:eastAsia="zh-CN"/>
        </w:rPr>
        <w:t>对相互推诿、不履行救助职责，造成流浪乞讨人员未能及时得到救助的，要追究相关部门负责人和直接责任人责任；对负有强制报告义务而未履行报告义务，造成遭受家庭暴力人员和受监护人侵害未成年人死伤等严重后果，要追究负有强制报告义务的相关机构和人员责任；对救助管理机构滞留人员站外托养和医疗救治工作疏于监督管理，造成被委托照料人员或医疗救治人员非正常死伤的，要追究有关负责人和工作人员责任；对因源头预防和治理工作不力、流浪乞讨人员返乡后救助管理不到位，造成外出流浪、乞讨现象严重的地区，要追究该地区相关领导责任。</w:t>
      </w:r>
    </w:p>
    <w:sectPr>
      <w:headerReference r:id="rId3" w:type="default"/>
      <w:footerReference r:id="rId4" w:type="default"/>
      <w:pgSz w:w="11906" w:h="16838"/>
      <w:pgMar w:top="1962" w:right="1474" w:bottom="1848"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2CF41F">
    <w:pPr>
      <w:pStyle w:val="8"/>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02EB58">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402EB58">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14:paraId="46D981DE">
    <w:pPr>
      <w:pStyle w:val="8"/>
      <w:wordWrap w:val="0"/>
      <w:ind w:left="4788" w:leftChars="2280" w:firstLine="6400" w:firstLineChars="2000"/>
      <w:jc w:val="right"/>
      <w:rPr>
        <w:rFonts w:hint="default"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cs="宋体"/>
        <w:b/>
        <w:bCs/>
        <w:color w:val="005192"/>
        <w:sz w:val="28"/>
        <w:szCs w:val="44"/>
        <w:lang w:val="en-US" w:eastAsia="zh-CN"/>
      </w:rPr>
      <w:t xml:space="preserve">宿州市民政局发布     </w:t>
    </w:r>
  </w:p>
  <w:p w14:paraId="6D0F1A49">
    <w:pPr>
      <w:pStyle w:val="8"/>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75E87C">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Be67HvIBAAC9AwAADgAAAGRycy9lMm9Eb2MueG1srVNNjtMw&#10;FN4jcQfLe5o005YSNZ3FVMMGQSXgAK5jJ5b8Jz9P016CCyCxgxVL9tyG4Rg8O2EG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64x/AB4kvhDElBQ7WyiT6r2fEVROyLpb9L0rJ110rrfIXakqGhFX4JmqEvJfoB&#10;Q+ORG9iOEqY7NDyPIUOC06pN2xMQhO5wpQM5smSTcjl/USXS2O6vstR7x6Af63JqNJBREd+EVgY5&#10;l+mbdmuLIEm6UawUHVx7zhrmdbzV3GZyYLLNn/O8+/7VbX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1EdA1tUAAAAJAQAADwAAAAAAAAABACAAAAAiAAAAZHJzL2Rvd25yZXYueG1sUEsBAhQAFAAA&#10;AAgAh07iQAXuux7yAQAAvQMAAA4AAAAAAAAAAQAgAAAAJAEAAGRycy9lMm9Eb2MueG1sUEsFBgAA&#10;AAAGAAYAWQEAAIgFAAAAAA==&#10;">
              <v:fill on="f" focussize="0,0"/>
              <v:stroke weight="1.75pt" color="#005192 [3204]" miterlimit="8" joinstyle="miter"/>
              <v:imagedata o:title=""/>
              <o:lock v:ext="edit" aspectratio="f"/>
            </v:line>
          </w:pict>
        </mc:Fallback>
      </mc:AlternateContent>
    </w:r>
  </w:p>
  <w:p w14:paraId="2EDAF525">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val="0"/>
        <w:bCs w:val="0"/>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cs="宋体"/>
        <w:b/>
        <w:bCs/>
        <w:color w:val="005192"/>
        <w:sz w:val="32"/>
        <w:lang w:val="en-US" w:eastAsia="zh-CN"/>
      </w:rPr>
      <w:t>宿州市民政局</w:t>
    </w:r>
    <w:r>
      <w:rPr>
        <w:rFonts w:hint="eastAsia" w:ascii="宋体" w:hAnsi="宋体" w:eastAsia="宋体" w:cs="宋体"/>
        <w:b/>
        <w:bCs/>
        <w:color w:val="005192"/>
        <w:sz w:val="32"/>
        <w:lang w:eastAsia="zh-CN"/>
      </w:rPr>
      <w:t>行政规范性文件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dit="readOnly" w:formatting="1" w:enforcement="1" w:cryptProviderType="rsaFull" w:cryptAlgorithmClass="hash" w:cryptAlgorithmType="typeAny" w:cryptAlgorithmSid="4" w:cryptSpinCount="0" w:hash="EHHLLy8dHZRyrcLk9RgUX6jpTFA=" w:salt="VJ18pMPDznQWiHxxvWFL9A=="/>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1ZmE2ZjA5YmFhYWQwMGVkNjI1NjQzMDM3OGQzNDcifQ=="/>
  </w:docVars>
  <w:rsids>
    <w:rsidRoot w:val="00172A27"/>
    <w:rsid w:val="019E71BD"/>
    <w:rsid w:val="04B679C3"/>
    <w:rsid w:val="05E451B5"/>
    <w:rsid w:val="080F63D8"/>
    <w:rsid w:val="0903600C"/>
    <w:rsid w:val="09341458"/>
    <w:rsid w:val="0B0912D7"/>
    <w:rsid w:val="0C227ABB"/>
    <w:rsid w:val="152D2DCA"/>
    <w:rsid w:val="15893B87"/>
    <w:rsid w:val="16B35156"/>
    <w:rsid w:val="19DA177F"/>
    <w:rsid w:val="1A2170CF"/>
    <w:rsid w:val="1BDD1D02"/>
    <w:rsid w:val="1DEC284C"/>
    <w:rsid w:val="1E6523AC"/>
    <w:rsid w:val="205B2820"/>
    <w:rsid w:val="22440422"/>
    <w:rsid w:val="2677283C"/>
    <w:rsid w:val="2E73479D"/>
    <w:rsid w:val="31A15F24"/>
    <w:rsid w:val="35991418"/>
    <w:rsid w:val="374E74CB"/>
    <w:rsid w:val="395347B5"/>
    <w:rsid w:val="39A232A0"/>
    <w:rsid w:val="39BE79C6"/>
    <w:rsid w:val="39E745AA"/>
    <w:rsid w:val="3B5A6BBB"/>
    <w:rsid w:val="3DA63B3B"/>
    <w:rsid w:val="3E1C6FD2"/>
    <w:rsid w:val="3EDA13A6"/>
    <w:rsid w:val="3F4854E9"/>
    <w:rsid w:val="414E57EB"/>
    <w:rsid w:val="42F058B7"/>
    <w:rsid w:val="436109F6"/>
    <w:rsid w:val="441A38D4"/>
    <w:rsid w:val="47A1129D"/>
    <w:rsid w:val="47F925A7"/>
    <w:rsid w:val="49F32EB2"/>
    <w:rsid w:val="4BC77339"/>
    <w:rsid w:val="4C9236C5"/>
    <w:rsid w:val="4CBD78E2"/>
    <w:rsid w:val="4D82737E"/>
    <w:rsid w:val="4E386D05"/>
    <w:rsid w:val="4EE405EA"/>
    <w:rsid w:val="4FFF755F"/>
    <w:rsid w:val="505C172E"/>
    <w:rsid w:val="51B226E5"/>
    <w:rsid w:val="52F46F0B"/>
    <w:rsid w:val="53D8014D"/>
    <w:rsid w:val="55221B6A"/>
    <w:rsid w:val="558D34A5"/>
    <w:rsid w:val="55E064E0"/>
    <w:rsid w:val="572C6D10"/>
    <w:rsid w:val="5757484F"/>
    <w:rsid w:val="5A6C43D3"/>
    <w:rsid w:val="5DC34279"/>
    <w:rsid w:val="5DC51367"/>
    <w:rsid w:val="5DCA16D1"/>
    <w:rsid w:val="5E4E151C"/>
    <w:rsid w:val="5E9A6353"/>
    <w:rsid w:val="608816D1"/>
    <w:rsid w:val="60EF4E7F"/>
    <w:rsid w:val="665233C1"/>
    <w:rsid w:val="6AD9688B"/>
    <w:rsid w:val="6BB00EAD"/>
    <w:rsid w:val="6D0E3F22"/>
    <w:rsid w:val="6E367A64"/>
    <w:rsid w:val="70BC57B2"/>
    <w:rsid w:val="71267ADD"/>
    <w:rsid w:val="7143439E"/>
    <w:rsid w:val="71441758"/>
    <w:rsid w:val="7155221E"/>
    <w:rsid w:val="76556480"/>
    <w:rsid w:val="76FF61C4"/>
    <w:rsid w:val="78040EBC"/>
    <w:rsid w:val="79677F0E"/>
    <w:rsid w:val="79BF7377"/>
    <w:rsid w:val="7C9011D9"/>
    <w:rsid w:val="7CAB4BF0"/>
    <w:rsid w:val="7DC651C5"/>
    <w:rsid w:val="7E692AD8"/>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iPriority="99"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Indent 2"/>
    <w:basedOn w:val="1"/>
    <w:next w:val="1"/>
    <w:qFormat/>
    <w:uiPriority w:val="0"/>
    <w:pPr>
      <w:spacing w:line="590" w:lineRule="exact"/>
      <w:ind w:firstLine="880" w:firstLineChars="200"/>
    </w:pPr>
    <w:rPr>
      <w:rFonts w:eastAsia="方正仿宋_GBK"/>
      <w:b/>
      <w:bCs/>
      <w:kern w:val="0"/>
      <w:sz w:val="32"/>
      <w:szCs w:val="32"/>
    </w:rPr>
  </w:style>
  <w:style w:type="paragraph" w:styleId="4">
    <w:name w:val="annotation text"/>
    <w:basedOn w:val="1"/>
    <w:qFormat/>
    <w:uiPriority w:val="0"/>
    <w:pPr>
      <w:jc w:val="left"/>
    </w:pPr>
  </w:style>
  <w:style w:type="paragraph" w:styleId="5">
    <w:name w:val="Body Text"/>
    <w:basedOn w:val="1"/>
    <w:unhideWhenUsed/>
    <w:qFormat/>
    <w:uiPriority w:val="99"/>
  </w:style>
  <w:style w:type="paragraph" w:styleId="6">
    <w:name w:val="Body Text Indent"/>
    <w:basedOn w:val="1"/>
    <w:semiHidden/>
    <w:unhideWhenUsed/>
    <w:qFormat/>
    <w:uiPriority w:val="99"/>
    <w:pPr>
      <w:spacing w:after="120"/>
      <w:ind w:left="420" w:leftChars="200"/>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0">
    <w:name w:val="Body Text First Indent 2"/>
    <w:basedOn w:val="6"/>
    <w:next w:val="1"/>
    <w:unhideWhenUsed/>
    <w:qFormat/>
    <w:uiPriority w:val="0"/>
    <w:pPr>
      <w:ind w:firstLine="420" w:firstLineChars="200"/>
    </w:pPr>
  </w:style>
  <w:style w:type="character" w:styleId="13">
    <w:name w:val="Strong"/>
    <w:basedOn w:val="12"/>
    <w:qFormat/>
    <w:uiPriority w:val="0"/>
    <w:rPr>
      <w:b/>
      <w:bCs/>
    </w:rPr>
  </w:style>
  <w:style w:type="paragraph" w:customStyle="1" w:styleId="14">
    <w:name w:val="p0"/>
    <w:basedOn w:val="1"/>
    <w:qFormat/>
    <w:uiPriority w:val="0"/>
    <w:pPr>
      <w:widowControl/>
    </w:pPr>
    <w:rPr>
      <w:rFonts w:ascii="Calibri" w:hAnsi="Calibri" w:eastAsia="宋体" w:cs="宋体"/>
      <w:kern w:val="0"/>
      <w:szCs w:val="32"/>
    </w:rPr>
  </w:style>
  <w:style w:type="paragraph" w:styleId="15">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2803</Words>
  <Characters>2822</Characters>
  <Lines>1</Lines>
  <Paragraphs>1</Paragraphs>
  <TotalTime>4</TotalTime>
  <ScaleCrop>false</ScaleCrop>
  <LinksUpToDate>false</LinksUpToDate>
  <CharactersWithSpaces>2825</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2021-09-09T02:41:00Z</dcterms:created>
  <dc:creator>t</dc:creator>
  <cp:lastModifiedBy>Administrator</cp:lastModifiedBy>
  <cp:lastPrinted>2021-10-26T03:30:00Z</cp:lastPrinted>
  <dcterms:modified xsi:type="dcterms:W3CDTF">2024-08-30T00:47:12Z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AAFC65832C8345A4AC61D8CE5A702F89_13</vt:lpwstr>
  </property>
</Properties>
</file>