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3F21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14:paraId="50E40AC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14:paraId="01C6AE6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关于印发《宿州市</w:t>
      </w: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2022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年度对养老服务机构开展“双随机、一公开”联合抽查</w:t>
      </w:r>
    </w:p>
    <w:p w14:paraId="41056E5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工作实施方案》的通知</w:t>
      </w:r>
    </w:p>
    <w:p w14:paraId="7AD135A2">
      <w:pPr>
        <w:pageBreakBefore w:val="0"/>
        <w:widowControl w:val="0"/>
        <w:tabs>
          <w:tab w:val="left" w:pos="7920"/>
          <w:tab w:val="left" w:pos="8100"/>
        </w:tabs>
        <w:kinsoku/>
        <w:wordWrap/>
        <w:overflowPunct/>
        <w:topLinePunct w:val="0"/>
        <w:autoSpaceDE/>
        <w:autoSpaceDN/>
        <w:bidi w:val="0"/>
        <w:adjustRightInd/>
        <w:snapToGrid/>
        <w:spacing w:line="590" w:lineRule="exact"/>
        <w:jc w:val="center"/>
        <w:textAlignment w:val="auto"/>
        <w:rPr>
          <w:rFonts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宿民发〔</w:t>
      </w:r>
      <w:r>
        <w:rPr>
          <w:rFonts w:hint="eastAsia" w:ascii="Times New Roman" w:hAnsi="Times New Roman" w:eastAsia="方正仿宋_GBK" w:cs="Times New Roman"/>
          <w:b w:val="0"/>
          <w:bCs w:val="0"/>
          <w:sz w:val="32"/>
          <w:szCs w:val="32"/>
          <w:lang w:val="en-US" w:eastAsia="zh-CN"/>
        </w:rPr>
        <w:t>2022</w:t>
      </w:r>
      <w:r>
        <w:rPr>
          <w:rFonts w:hint="eastAsia" w:ascii="方正仿宋_GBK"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33</w:t>
      </w:r>
      <w:r>
        <w:rPr>
          <w:rFonts w:hint="eastAsia" w:ascii="方正仿宋_GBK" w:hAnsi="Times New Roman" w:eastAsia="方正仿宋_GBK" w:cs="Times New Roman"/>
          <w:b w:val="0"/>
          <w:bCs w:val="0"/>
          <w:sz w:val="32"/>
          <w:szCs w:val="32"/>
        </w:rPr>
        <w:t>号</w:t>
      </w:r>
    </w:p>
    <w:p w14:paraId="59EFE86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611D707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各县、区民政局、住房和城乡建设局、市场监督管理局：</w:t>
      </w:r>
    </w:p>
    <w:p w14:paraId="656FA08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现将《宿州市</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年度对养老服务机构开展“双随机、一公开”联合抽查工作实施方案》印发给你们，</w:t>
      </w:r>
      <w:bookmarkStart w:id="0" w:name="_GoBack"/>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请结合实际抓好贯彻落实。</w:t>
      </w:r>
    </w:p>
    <w:p w14:paraId="5AE84E8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69A497D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6F09845F">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 xml:space="preserve">宿州市民政局  </w:t>
      </w:r>
    </w:p>
    <w:p w14:paraId="69339670">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 xml:space="preserve">宿州市住房和城乡建设局  </w:t>
      </w:r>
    </w:p>
    <w:p w14:paraId="02A0F23D">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 xml:space="preserve">宿州市市场监督管理局  </w:t>
      </w:r>
    </w:p>
    <w:p w14:paraId="45BA47C1">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日  </w:t>
      </w:r>
    </w:p>
    <w:p w14:paraId="782D73D0">
      <w:pPr>
        <w:pStyle w:val="3"/>
        <w:keepNext/>
        <w:keepLines/>
        <w:pageBreakBefore w:val="0"/>
        <w:widowControl w:val="0"/>
        <w:kinsoku/>
        <w:wordWrap/>
        <w:overflowPunct/>
        <w:topLinePunct w:val="0"/>
        <w:autoSpaceDE/>
        <w:autoSpaceDN/>
        <w:bidi w:val="0"/>
        <w:adjustRightInd/>
        <w:snapToGrid/>
        <w:spacing w:before="0" w:after="0" w:line="590" w:lineRule="exact"/>
        <w:jc w:val="both"/>
        <w:textAlignment w:val="auto"/>
        <w:rPr>
          <w:rFonts w:hint="eastAsia" w:ascii="方正小标宋_GBK" w:hAnsi="方正小标宋_GBK" w:eastAsia="方正小标宋_GBK" w:cs="方正小标宋_GBK"/>
          <w:b w:val="0"/>
          <w:bCs/>
          <w:color w:val="000000" w:themeColor="text1"/>
          <w:spacing w:val="-20"/>
          <w:lang w:val="en-US" w:eastAsia="zh-CN"/>
          <w14:textFill>
            <w14:solidFill>
              <w14:schemeClr w14:val="tx1"/>
            </w14:solidFill>
          </w14:textFill>
        </w:rPr>
      </w:pPr>
    </w:p>
    <w:p w14:paraId="0396E7FF">
      <w:pPr>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b w:val="0"/>
          <w:bCs/>
          <w:color w:val="000000" w:themeColor="text1"/>
          <w:spacing w:val="-20"/>
          <w:lang w:val="en-US" w:eastAsia="zh-CN"/>
          <w14:textFill>
            <w14:solidFill>
              <w14:schemeClr w14:val="tx1"/>
            </w14:solidFill>
          </w14:textFill>
        </w:rPr>
      </w:pPr>
    </w:p>
    <w:p w14:paraId="7C8082CB">
      <w:pPr>
        <w:pStyle w:val="2"/>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方正小标宋_GBK" w:eastAsia="方正小标宋_GBK" w:cs="方正小标宋_GBK"/>
          <w:b w:val="0"/>
          <w:bCs/>
          <w:color w:val="000000" w:themeColor="text1"/>
          <w:spacing w:val="-20"/>
          <w:lang w:val="en-US" w:eastAsia="zh-CN"/>
          <w14:textFill>
            <w14:solidFill>
              <w14:schemeClr w14:val="tx1"/>
            </w14:solidFill>
          </w14:textFill>
        </w:rPr>
      </w:pPr>
    </w:p>
    <w:p w14:paraId="300CB2CD">
      <w:pPr>
        <w:pStyle w:val="2"/>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lang w:val="en-US" w:eastAsia="zh-CN"/>
        </w:rPr>
      </w:pPr>
    </w:p>
    <w:p w14:paraId="15D94DEC">
      <w:pPr>
        <w:pStyle w:val="3"/>
        <w:keepNext/>
        <w:keepLines/>
        <w:pageBreakBefore w:val="0"/>
        <w:widowControl w:val="0"/>
        <w:kinsoku/>
        <w:wordWrap/>
        <w:overflowPunct/>
        <w:topLinePunct w:val="0"/>
        <w:autoSpaceDE/>
        <w:autoSpaceDN/>
        <w:bidi w:val="0"/>
        <w:adjustRightInd/>
        <w:snapToGrid/>
        <w:spacing w:before="0" w:after="0" w:line="590" w:lineRule="exact"/>
        <w:jc w:val="center"/>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20"/>
          <w:lang w:val="en-US" w:eastAsia="zh-CN"/>
          <w14:textFill>
            <w14:solidFill>
              <w14:schemeClr w14:val="tx1"/>
            </w14:solidFill>
          </w14:textFill>
        </w:rPr>
        <w:t>宿州市</w:t>
      </w:r>
      <w:r>
        <w:rPr>
          <w:rFonts w:hint="eastAsia" w:ascii="Times New Roman" w:hAnsi="Times New Roman" w:eastAsia="方正小标宋_GBK" w:cs="方正小标宋_GBK"/>
          <w:b w:val="0"/>
          <w:bCs/>
          <w:color w:val="000000" w:themeColor="text1"/>
          <w:spacing w:val="-20"/>
          <w:lang w:val="en-US" w:eastAsia="zh-CN"/>
          <w14:textFill>
            <w14:solidFill>
              <w14:schemeClr w14:val="tx1"/>
            </w14:solidFill>
          </w14:textFill>
        </w:rPr>
        <w:t>2022</w:t>
      </w:r>
      <w:r>
        <w:rPr>
          <w:rFonts w:hint="eastAsia" w:ascii="方正小标宋_GBK" w:hAnsi="方正小标宋_GBK" w:eastAsia="方正小标宋_GBK" w:cs="方正小标宋_GBK"/>
          <w:b w:val="0"/>
          <w:bCs/>
          <w:color w:val="000000" w:themeColor="text1"/>
          <w:spacing w:val="-20"/>
          <w:lang w:val="en-US" w:eastAsia="zh-CN"/>
          <w14:textFill>
            <w14:solidFill>
              <w14:schemeClr w14:val="tx1"/>
            </w14:solidFill>
          </w14:textFill>
        </w:rPr>
        <w:t>年度对养老服务机构开展</w:t>
      </w:r>
      <w:r>
        <w:rPr>
          <w:rFonts w:hint="default" w:ascii="方正小标宋_GBK" w:hAnsi="方正小标宋_GBK" w:eastAsia="方正小标宋_GBK" w:cs="方正小标宋_GBK"/>
          <w:b w:val="0"/>
          <w:bCs/>
          <w:color w:val="000000" w:themeColor="text1"/>
          <w:spacing w:val="-20"/>
          <w:lang w:val="en-US" w:eastAsia="zh-CN"/>
          <w14:textFill>
            <w14:solidFill>
              <w14:schemeClr w14:val="tx1"/>
            </w14:solidFill>
          </w14:textFill>
        </w:rPr>
        <w:t>“</w:t>
      </w:r>
      <w:r>
        <w:rPr>
          <w:rFonts w:hint="eastAsia" w:ascii="方正小标宋_GBK" w:hAnsi="方正小标宋_GBK" w:eastAsia="方正小标宋_GBK" w:cs="方正小标宋_GBK"/>
          <w:b w:val="0"/>
          <w:bCs/>
          <w:color w:val="000000" w:themeColor="text1"/>
          <w:spacing w:val="-20"/>
          <w:lang w:val="en-US" w:eastAsia="zh-CN"/>
          <w14:textFill>
            <w14:solidFill>
              <w14:schemeClr w14:val="tx1"/>
            </w14:solidFill>
          </w14:textFill>
        </w:rPr>
        <w:t>双随机、一公开”联合抽查工作实施方案</w:t>
      </w:r>
    </w:p>
    <w:p w14:paraId="6CC8A6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689C70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持续深化“放管服”改革，优化营商环境，不断提高事中事后监管科学化、规范化水平，推行“一业一查”部门联合双随机监管模式，根据《宿州市人民政府关于在市场监管领域全面推行部门联合“双随机、一公开”监管的实施方案》（宿政发〔</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2019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号）、《安徽省民政厅、住房和城乡建设厅、市场监督管理局关于印发&lt;推进养老机构“双随机、一公开”监管实施方案&gt;的通知》（</w:t>
      </w:r>
      <w:r>
        <w:rPr>
          <w:rFonts w:hint="eastAsia" w:ascii="方正仿宋_GBK" w:hAnsi="方正仿宋_GBK" w:eastAsia="方正仿宋_GBK" w:cs="方正仿宋_GBK"/>
          <w:color w:val="000000" w:themeColor="text1"/>
          <w:sz w:val="32"/>
          <w:szCs w:val="32"/>
          <w14:textFill>
            <w14:solidFill>
              <w14:schemeClr w14:val="tx1"/>
            </w14:solidFill>
          </w14:textFill>
        </w:rPr>
        <w:t>皖民养老字〔</w:t>
      </w:r>
      <w:r>
        <w:rPr>
          <w:rFonts w:hint="eastAsia" w:ascii="Times New Roman" w:hAnsi="Times New Roman" w:eastAsia="方正仿宋_GBK" w:cs="方正仿宋_GBK"/>
          <w:color w:val="000000" w:themeColor="text1"/>
          <w:sz w:val="32"/>
          <w:szCs w:val="32"/>
          <w14:textFill>
            <w14:solidFill>
              <w14:schemeClr w14:val="tx1"/>
            </w14:solidFill>
          </w14:textFill>
        </w:rPr>
        <w:t>2021</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116</w:t>
      </w:r>
      <w:r>
        <w:rPr>
          <w:rFonts w:hint="eastAsia" w:ascii="方正仿宋_GBK" w:hAnsi="方正仿宋_GBK" w:eastAsia="方正仿宋_GBK" w:cs="方正仿宋_GBK"/>
          <w:color w:val="000000" w:themeColor="text1"/>
          <w:sz w:val="32"/>
          <w:szCs w:val="32"/>
          <w14:textFill>
            <w14:solidFill>
              <w14:schemeClr w14:val="tx1"/>
            </w14:solidFill>
          </w14:textFill>
        </w:rPr>
        <w:t>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和《宿州市“一业一查”跨部门联合随机抽查工作计划（第二版）》（政商改办字〔</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号）等文件要求，市民政局联合市住建局、市市场监督管理局对养老服务机构开展“双随机、一公开”联合抽查行动，现制定实施方案如下：</w:t>
      </w:r>
    </w:p>
    <w:p w14:paraId="2FCF38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一、工作目标</w:t>
      </w:r>
    </w:p>
    <w:p w14:paraId="7D1B9E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认真落实中央、省、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决策部署，在养老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14:textFill>
            <w14:solidFill>
              <w14:schemeClr w14:val="tx1"/>
            </w14:solidFill>
          </w14:textFill>
        </w:rPr>
        <w:t>机构监管中健全以“双随机、一公开”监管为基本手段、以重点监管为补充、以信用监管为基础的新型监管机制，加强行业监管部门和综合监管部门的协调配合，实行抽查事项清单管理，避免多 头执法、重复检查，推进部门协同监管常态化，切实减轻养老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14:textFill>
            <w14:solidFill>
              <w14:schemeClr w14:val="tx1"/>
            </w14:solidFill>
          </w14:textFill>
        </w:rPr>
        <w:t>机构和从业人员负担，加快营造公平竞争的市场环境和法治化、便利化的营商环境。坚持“双随机、一公开”监管与重点监管相结合，坚持跨部门协同推进，坚持实施信用风险分类管理等原则。到</w:t>
      </w:r>
      <w:r>
        <w:rPr>
          <w:rFonts w:hint="eastAsia" w:ascii="Times New Roman" w:hAnsi="Times New Roman" w:eastAsia="方正仿宋_GBK" w:cs="方正仿宋_GBK"/>
          <w:color w:val="000000" w:themeColor="text1"/>
          <w:sz w:val="32"/>
          <w:szCs w:val="32"/>
          <w14:textFill>
            <w14:solidFill>
              <w14:schemeClr w14:val="tx1"/>
            </w14:solidFill>
          </w14:textFill>
        </w:rPr>
        <w:t>2023</w:t>
      </w:r>
      <w:r>
        <w:rPr>
          <w:rFonts w:hint="eastAsia" w:ascii="方正仿宋_GBK" w:hAnsi="方正仿宋_GBK" w:eastAsia="方正仿宋_GBK" w:cs="方正仿宋_GBK"/>
          <w:color w:val="000000" w:themeColor="text1"/>
          <w:sz w:val="32"/>
          <w:szCs w:val="32"/>
          <w14:textFill>
            <w14:solidFill>
              <w14:schemeClr w14:val="tx1"/>
            </w14:solidFill>
          </w14:textFill>
        </w:rPr>
        <w:t>年底， 民政、住房和城乡建设、市场监管部门完成养老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14:textFill>
            <w14:solidFill>
              <w14:schemeClr w14:val="tx1"/>
            </w14:solidFill>
          </w14:textFill>
        </w:rPr>
        <w:t>机构监管跨部门“双随机、一公开”抽查全流程整合，实现“双随机、一公开”监管全覆盖、法治化、规范化、常态化。到“十四五”末，推动养老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14:textFill>
            <w14:solidFill>
              <w14:schemeClr w14:val="tx1"/>
            </w14:solidFill>
          </w14:textFill>
        </w:rPr>
        <w:t>机构综合监管领域相关部门“双随机、一公开”监管全覆盖，各级政府相关部门在养老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32"/>
          <w:szCs w:val="32"/>
          <w14:textFill>
            <w14:solidFill>
              <w14:schemeClr w14:val="tx1"/>
            </w14:solidFill>
          </w14:textFill>
        </w:rPr>
        <w:t>机构监管领域联合实施“双随机、一公开”监管常态化，养老服务综合监管、智慧监管、效能监管水平显著提升。</w:t>
      </w:r>
    </w:p>
    <w:p w14:paraId="20E864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二、参与部门</w:t>
      </w:r>
    </w:p>
    <w:p w14:paraId="57BD8E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本次“双随机、一公开”跨部门市级联合抽查由市民政局牵头，参与部门为市城乡住建局、市市场监管局。各县区相关部门做好市级部门联查配合工作，并参照制定县级联查方案。</w:t>
      </w:r>
    </w:p>
    <w:p w14:paraId="36B886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三、抽查时间、对象和比例</w:t>
      </w:r>
    </w:p>
    <w:p w14:paraId="105B92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抽查时间：</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日至</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日。</w:t>
      </w:r>
    </w:p>
    <w:p w14:paraId="7CE1A9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抽查对象：全市养老服务机构。</w:t>
      </w:r>
    </w:p>
    <w:p w14:paraId="365AFB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抽查比例：市级抽查基数为</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163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家，按照</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比例，根据监管对象信用风险分类不同等级采取差异化抽取比例。共计抽查</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家。</w:t>
      </w:r>
    </w:p>
    <w:p w14:paraId="5F3EF8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四、联合检查事项</w:t>
      </w:r>
    </w:p>
    <w:p w14:paraId="5E5116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市民政局：服务质量安全检查，资金安全监督检查，突发事件应对监督检查，从业人员监督检查，运营资质，备案事项，合同管理，服务收费，信息公开，规章制度。</w:t>
      </w:r>
    </w:p>
    <w:p w14:paraId="76F3C67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市住房和城乡建设局：建筑消防设计审查和验收监督检查。</w:t>
      </w:r>
    </w:p>
    <w:p w14:paraId="39915D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市市场监督管理局：食品经营许可和食品安全情况检查，特种设备使用单位监督检查</w:t>
      </w:r>
      <w:r>
        <w:rPr>
          <w:rFonts w:hint="eastAsia"/>
          <w:color w:val="000000" w:themeColor="text1"/>
          <w:lang w:val="en-US" w:eastAsia="zh-CN"/>
          <w14:textFill>
            <w14:solidFill>
              <w14:schemeClr w14:val="tx1"/>
            </w14:solidFill>
          </w14:textFill>
        </w:rPr>
        <w:t>。</w:t>
      </w:r>
    </w:p>
    <w:p w14:paraId="387C14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五、实施步骤</w:t>
      </w:r>
    </w:p>
    <w:p w14:paraId="1F4D9D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（一）制定计划</w:t>
      </w:r>
    </w:p>
    <w:p w14:paraId="36B8A6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由市民政局制定联合检查工作计划和工作方案，并组织协调市住房和城乡建设局、市市场监督管理局参加联合检查。</w:t>
      </w:r>
    </w:p>
    <w:p w14:paraId="17C263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（二）随机抽取检查对象</w:t>
      </w:r>
    </w:p>
    <w:p w14:paraId="698362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由市民政局通过安徽省事中事后综合监管系统，在监管对象库中，按照</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比例随机抽取检查对象，并在本部门执法检查人员库中按每家机构</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名执法检查人员的标准随机抽取匹配执法检查人员。及时将抽取的检查对象通过安徽省事中事后综合监管系统派发至市住房和城乡建设局、市市场监督管理局。</w:t>
      </w:r>
    </w:p>
    <w:p w14:paraId="7D4D65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（三）其他联合检查单位匹配任务</w:t>
      </w:r>
    </w:p>
    <w:p w14:paraId="3A62BD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市住房和城乡建设局、市市场监督管理局认领检查对象后，按至少</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名执法检查人员的标准，从本部门执法检查人员库中随机抽取检查执法人员进行匹配。市本级不具备相关检查条件的，可根据实际情况，委托下级部门参与检查。</w:t>
      </w:r>
    </w:p>
    <w:p w14:paraId="75A1EE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（四）生成“一机构一表”</w:t>
      </w:r>
    </w:p>
    <w:p w14:paraId="5E3662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检查对象与执法检查人员完成匹配后，由系统自动生成“安徽省随机抽查检查表”，即“一机构一表”，一个机构对应一份检查表格。</w:t>
      </w:r>
    </w:p>
    <w:p w14:paraId="2E6F9E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（五）依法开展联合检查</w:t>
      </w:r>
    </w:p>
    <w:p w14:paraId="4DD7AC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部门按照本部门“一机构一表”，组织执法人员按照牵头单位市民政局统一安排一同到机构开展联合检查工作，确保“进一次门，查多项事”。检查工作必须严格按照联合检查工作方案确定的内容进行，入机构检查、结果上传公示等工作务必在</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日前完成。</w:t>
      </w:r>
    </w:p>
    <w:p w14:paraId="4882A3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（六）公示检查结果</w:t>
      </w:r>
    </w:p>
    <w:p w14:paraId="4982C7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检查结束后，由参与检查的部门在检查结束起</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个工作日内将检查结果分别录入安徽省事中事后综合监管系统，检查结果将通过国家企业信用信息公示系统记在企业名下向社会公示。市民政局将检查结果汇总表报市商改办。</w:t>
      </w:r>
    </w:p>
    <w:p w14:paraId="2386CE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六、工作要求</w:t>
      </w:r>
    </w:p>
    <w:p w14:paraId="4D02E6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（一）统一思想认识，加强组织领导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部门联合“双随机、一公开”抽查是深化“放管服”改革的重要内容，是优化营商环境的重大举措。各单位要高度重视，切实加强组织领导，认真筹划，精心组织，充分发挥行业管理部门、综合监管部门和部门联合“双随机、一公开”监管“联”的作用，按时保质完成抽查任务。</w:t>
      </w:r>
    </w:p>
    <w:p w14:paraId="5AC21F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（二）加强沟通联系，密切协调配合。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联合抽查的相关单位要按照联合抽查的工作安排，加强横向协作，密切配合，形成共同参与、分工合作的工作局面和联合抽查工作合力。牵头单位要提前做好协调工作，参与单位要服从工作安排，确保联合抽查有序开展。</w:t>
      </w:r>
    </w:p>
    <w:p w14:paraId="26E633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（三）注重监管服务，减轻企业负担。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联合抽查工作中，各单位要以“包容监管、审慎监管、精准监管、联合监管”的新型监管模式为指引，依法行政，切实增强检查活动的集约性、简便性与有效性，避免增加企业负担。同时要增强服务意识，把上门检查与上门服务有机结合起来，主动接受企业咨询，为企业解疑答惑。</w:t>
      </w:r>
    </w:p>
    <w:p w14:paraId="62A4C07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（四）做好结果录入，加强档案管理。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各单位要严格做好抽查检查结果录入工作，坚决杜绝超时限录入、随意录入抽查检查结果、反复修改检查结果、后续处理结果无反馈等问题发生。各单位要按照“谁检查、谁保存”的原则，抽查档案经抽查人员签字和被抽查企业盖章后及时归档保存，抽查档案包含联合检查记录表、现场照片、现场检查预先通知单等随机联合抽查检查材料。</w:t>
      </w:r>
    </w:p>
    <w:p w14:paraId="5DA9D2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市民政局联系人：马兆阳，联系方式：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3255022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18005577505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，邮箱：</w: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 HYPERLINK "mailto:719624335@qq.com"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719624335</w:t>
      </w:r>
      <w:r>
        <w:rPr>
          <w:rStyle w:val="14"/>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Style w:val="14"/>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qq</w:t>
      </w:r>
      <w:r>
        <w:rPr>
          <w:rStyle w:val="14"/>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Style w:val="14"/>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com</w: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end"/>
      </w:r>
    </w:p>
    <w:p w14:paraId="593A5A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市住房和城乡建设局联系人：丁佳，联系方式：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3960567</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，邮箱：</w: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 HYPERLINK "mailto:719624335@qq.com"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554462153</w:t>
      </w:r>
      <w:r>
        <w:rPr>
          <w:rStyle w:val="14"/>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Style w:val="14"/>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qq</w:t>
      </w:r>
      <w:r>
        <w:rPr>
          <w:rStyle w:val="14"/>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Style w:val="14"/>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com</w: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end"/>
      </w:r>
    </w:p>
    <w:p w14:paraId="49F4E2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市市场监督管理局联系人：惠兆澍，联系方式：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17705579636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，邮箱：</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szxyk2019</w:t>
      </w:r>
      <w:r>
        <w:rPr>
          <w:rStyle w:val="14"/>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Style w:val="14"/>
          <w:rFonts w:hint="eastAsia" w:ascii="Times New Roman" w:hAnsi="Times New Roman" w:eastAsia="方正仿宋_GBK" w:cs="方正仿宋_GBK"/>
          <w:i w:val="0"/>
          <w:caps w:val="0"/>
          <w:color w:val="000000" w:themeColor="text1"/>
          <w:spacing w:val="0"/>
          <w:sz w:val="32"/>
          <w:szCs w:val="32"/>
          <w:shd w:val="clear" w:fill="FFFFFF"/>
          <w:lang w:val="en-US" w:eastAsia="zh-CN"/>
          <w14:textFill>
            <w14:solidFill>
              <w14:schemeClr w14:val="tx1"/>
            </w14:solidFill>
          </w14:textFill>
        </w:rPr>
        <w:t>163</w:t>
      </w:r>
      <w:r>
        <w:rPr>
          <w:rStyle w:val="14"/>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Style w:val="14"/>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com</w:t>
      </w:r>
    </w:p>
    <w:p w14:paraId="60DE13C0">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27BEE97C">
      <w:pPr>
        <w:keepNext w:val="0"/>
        <w:keepLines w:val="0"/>
        <w:pageBreakBefore w:val="0"/>
        <w:widowControl w:val="0"/>
        <w:kinsoku/>
        <w:wordWrap/>
        <w:overflowPunct/>
        <w:topLinePunct w:val="0"/>
        <w:autoSpaceDE/>
        <w:autoSpaceDN/>
        <w:bidi w:val="0"/>
        <w:adjustRightInd/>
        <w:snapToGrid/>
        <w:spacing w:line="590" w:lineRule="exact"/>
        <w:ind w:left="420" w:leftChars="20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附件：</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.宿州市“一业一查”跨部门联合随机抽查工作</w:t>
      </w:r>
    </w:p>
    <w:p w14:paraId="2EDF2F0C">
      <w:pPr>
        <w:keepNext w:val="0"/>
        <w:keepLines w:val="0"/>
        <w:pageBreakBefore w:val="0"/>
        <w:widowControl w:val="0"/>
        <w:kinsoku/>
        <w:wordWrap/>
        <w:overflowPunct/>
        <w:topLinePunct w:val="0"/>
        <w:autoSpaceDE/>
        <w:autoSpaceDN/>
        <w:bidi w:val="0"/>
        <w:adjustRightInd/>
        <w:snapToGrid/>
        <w:spacing w:line="590" w:lineRule="exact"/>
        <w:ind w:left="1365" w:leftChars="65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计划</w:t>
      </w:r>
    </w:p>
    <w:p w14:paraId="7CA661C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365" w:leftChars="650" w:firstLine="0" w:firstLineChars="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.宿州市</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年度养老服务机构“双随机、一公开”联合抽查情况汇总统计表</w:t>
      </w:r>
    </w:p>
    <w:p w14:paraId="4E608C2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z w:val="44"/>
          <w:szCs w:val="44"/>
          <w:lang w:val="en-US" w:eastAsia="zh-CN"/>
        </w:rPr>
      </w:pPr>
    </w:p>
    <w:p w14:paraId="321FF8B9">
      <w:pPr>
        <w:pStyle w:val="2"/>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44"/>
          <w:szCs w:val="44"/>
          <w:lang w:val="en-US" w:eastAsia="zh-CN"/>
        </w:rPr>
      </w:pPr>
    </w:p>
    <w:p w14:paraId="4F753372">
      <w:pPr>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44"/>
          <w:szCs w:val="44"/>
          <w:lang w:val="en-US" w:eastAsia="zh-CN"/>
        </w:rPr>
      </w:pPr>
    </w:p>
    <w:p w14:paraId="4D27DC74">
      <w:pPr>
        <w:pStyle w:val="2"/>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44"/>
          <w:szCs w:val="44"/>
          <w:lang w:val="en-US" w:eastAsia="zh-CN"/>
        </w:rPr>
      </w:pPr>
    </w:p>
    <w:p w14:paraId="4FD37AD0">
      <w:pPr>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44"/>
          <w:szCs w:val="44"/>
          <w:lang w:val="en-US" w:eastAsia="zh-CN"/>
        </w:rPr>
      </w:pPr>
    </w:p>
    <w:p w14:paraId="2071C4F6">
      <w:pPr>
        <w:pStyle w:val="2"/>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44"/>
          <w:szCs w:val="44"/>
          <w:lang w:val="en-US" w:eastAsia="zh-CN"/>
        </w:rPr>
      </w:pPr>
    </w:p>
    <w:p w14:paraId="7AC098C0">
      <w:pPr>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44"/>
          <w:szCs w:val="44"/>
          <w:lang w:val="en-US" w:eastAsia="zh-CN"/>
        </w:rPr>
      </w:pPr>
    </w:p>
    <w:p w14:paraId="0FA4869C">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14:paraId="48FA0C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1</w:t>
      </w:r>
    </w:p>
    <w:p w14:paraId="3A5987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宿州市“一业一查”跨部门联合随机抽查工作计划</w:t>
      </w:r>
    </w:p>
    <w:p w14:paraId="4B00A4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54"/>
        <w:gridCol w:w="2950"/>
        <w:gridCol w:w="1231"/>
        <w:gridCol w:w="1359"/>
        <w:gridCol w:w="1870"/>
        <w:gridCol w:w="1858"/>
        <w:gridCol w:w="1436"/>
        <w:gridCol w:w="751"/>
      </w:tblGrid>
      <w:tr w14:paraId="2EF8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97" w:type="dxa"/>
            <w:vAlign w:val="center"/>
          </w:tcPr>
          <w:p w14:paraId="469706A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任务名称</w:t>
            </w:r>
          </w:p>
        </w:tc>
        <w:tc>
          <w:tcPr>
            <w:tcW w:w="1272" w:type="dxa"/>
            <w:vAlign w:val="center"/>
          </w:tcPr>
          <w:p w14:paraId="64A545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联查部门</w:t>
            </w:r>
          </w:p>
        </w:tc>
        <w:tc>
          <w:tcPr>
            <w:tcW w:w="3000" w:type="dxa"/>
            <w:vAlign w:val="center"/>
          </w:tcPr>
          <w:p w14:paraId="05B4A4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抽查事项</w:t>
            </w:r>
          </w:p>
        </w:tc>
        <w:tc>
          <w:tcPr>
            <w:tcW w:w="1248" w:type="dxa"/>
            <w:vAlign w:val="center"/>
          </w:tcPr>
          <w:p w14:paraId="4F50F1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联查对象</w:t>
            </w:r>
          </w:p>
        </w:tc>
        <w:tc>
          <w:tcPr>
            <w:tcW w:w="1368" w:type="dxa"/>
            <w:vAlign w:val="center"/>
          </w:tcPr>
          <w:p w14:paraId="7F357D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检查主体</w:t>
            </w:r>
          </w:p>
        </w:tc>
        <w:tc>
          <w:tcPr>
            <w:tcW w:w="1896" w:type="dxa"/>
            <w:vAlign w:val="center"/>
          </w:tcPr>
          <w:p w14:paraId="247C48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责任分工</w:t>
            </w:r>
          </w:p>
        </w:tc>
        <w:tc>
          <w:tcPr>
            <w:tcW w:w="1884" w:type="dxa"/>
            <w:vAlign w:val="center"/>
          </w:tcPr>
          <w:p w14:paraId="4BE7DB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抽查比例</w:t>
            </w:r>
          </w:p>
        </w:tc>
        <w:tc>
          <w:tcPr>
            <w:tcW w:w="1452" w:type="dxa"/>
            <w:vAlign w:val="center"/>
          </w:tcPr>
          <w:p w14:paraId="3519226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时间安排</w:t>
            </w:r>
          </w:p>
        </w:tc>
        <w:tc>
          <w:tcPr>
            <w:tcW w:w="757" w:type="dxa"/>
            <w:vAlign w:val="center"/>
          </w:tcPr>
          <w:p w14:paraId="33E98D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vertAlign w:val="baseline"/>
                <w:lang w:val="en-US" w:eastAsia="zh-CN"/>
                <w14:textFill>
                  <w14:solidFill>
                    <w14:schemeClr w14:val="tx1"/>
                  </w14:solidFill>
                </w14:textFill>
              </w:rPr>
              <w:t>备注</w:t>
            </w:r>
          </w:p>
        </w:tc>
      </w:tr>
      <w:tr w14:paraId="38AF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297" w:type="dxa"/>
            <w:vMerge w:val="restart"/>
            <w:vAlign w:val="center"/>
          </w:tcPr>
          <w:p w14:paraId="2A78C0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color w:val="000000" w:themeColor="text1"/>
                <w:sz w:val="24"/>
                <w:szCs w:val="24"/>
                <w:vertAlign w:val="baseli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年度养老服务机构部门联合抽查</w:t>
            </w:r>
          </w:p>
        </w:tc>
        <w:tc>
          <w:tcPr>
            <w:tcW w:w="1272" w:type="dxa"/>
            <w:vAlign w:val="center"/>
          </w:tcPr>
          <w:p w14:paraId="2F23D3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市民政局</w:t>
            </w:r>
          </w:p>
        </w:tc>
        <w:tc>
          <w:tcPr>
            <w:tcW w:w="3000" w:type="dxa"/>
            <w:vAlign w:val="center"/>
          </w:tcPr>
          <w:p w14:paraId="1F7316D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服务质量安全检查，资金安全监督检查，突发事件应对监督检查，从业人员监督检查，运营资质，备案事项，合同管理，服务收费，信息公开，规章制度。</w:t>
            </w:r>
          </w:p>
        </w:tc>
        <w:tc>
          <w:tcPr>
            <w:tcW w:w="1248" w:type="dxa"/>
            <w:vMerge w:val="restart"/>
            <w:vAlign w:val="center"/>
          </w:tcPr>
          <w:p w14:paraId="02DDE52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全市养老服务机构</w:t>
            </w:r>
          </w:p>
        </w:tc>
        <w:tc>
          <w:tcPr>
            <w:tcW w:w="1368" w:type="dxa"/>
            <w:vMerge w:val="restart"/>
            <w:vAlign w:val="center"/>
          </w:tcPr>
          <w:p w14:paraId="3D07F1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市、县（区）级民政、住建、市场监管部门</w:t>
            </w:r>
          </w:p>
        </w:tc>
        <w:tc>
          <w:tcPr>
            <w:tcW w:w="1896" w:type="dxa"/>
            <w:vMerge w:val="restart"/>
            <w:vAlign w:val="center"/>
          </w:tcPr>
          <w:p w14:paraId="41D3DB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市民政局牵头发起，市住建局、市市场监管局按职责分工制定</w:t>
            </w:r>
          </w:p>
        </w:tc>
        <w:tc>
          <w:tcPr>
            <w:tcW w:w="1884" w:type="dxa"/>
            <w:vMerge w:val="restart"/>
            <w:vAlign w:val="center"/>
          </w:tcPr>
          <w:p w14:paraId="208799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市级抽查基数为</w:t>
            </w: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163</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家，按照</w:t>
            </w: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比例，根据监管对象信用风险分类不同等级采取差异化抽取比例。共计抽查</w:t>
            </w: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家。</w:t>
            </w:r>
          </w:p>
        </w:tc>
        <w:tc>
          <w:tcPr>
            <w:tcW w:w="1452" w:type="dxa"/>
            <w:vMerge w:val="restart"/>
            <w:vAlign w:val="center"/>
          </w:tcPr>
          <w:p w14:paraId="4ADBE2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color w:val="000000" w:themeColor="text1"/>
                <w:sz w:val="24"/>
                <w:szCs w:val="24"/>
                <w:vertAlign w:val="baseli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年</w:t>
            </w:r>
            <w:r>
              <w:rPr>
                <w:rFonts w:hint="eastAsia" w:ascii="Times New Roman" w:hAnsi="Times New Roman" w:eastAsia="方正仿宋_GBK" w:cs="方正仿宋_GBK"/>
                <w:color w:val="000000" w:themeColor="text1"/>
                <w:sz w:val="24"/>
                <w:szCs w:val="24"/>
                <w:vertAlign w:val="baseli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月至</w:t>
            </w:r>
            <w:r>
              <w:rPr>
                <w:rFonts w:hint="eastAsia" w:ascii="Times New Roman" w:hAnsi="Times New Roman" w:eastAsia="方正仿宋_GBK" w:cs="方正仿宋_GBK"/>
                <w:color w:val="000000" w:themeColor="text1"/>
                <w:sz w:val="24"/>
                <w:szCs w:val="24"/>
                <w:vertAlign w:val="baseline"/>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月</w:t>
            </w:r>
          </w:p>
        </w:tc>
        <w:tc>
          <w:tcPr>
            <w:tcW w:w="757" w:type="dxa"/>
            <w:vMerge w:val="restart"/>
            <w:vAlign w:val="center"/>
          </w:tcPr>
          <w:p w14:paraId="275FE7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r>
      <w:tr w14:paraId="496C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97" w:type="dxa"/>
            <w:vMerge w:val="continue"/>
            <w:vAlign w:val="center"/>
          </w:tcPr>
          <w:p w14:paraId="56E5DD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272" w:type="dxa"/>
            <w:vAlign w:val="center"/>
          </w:tcPr>
          <w:p w14:paraId="664D49A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住房城乡建设部门</w:t>
            </w:r>
          </w:p>
        </w:tc>
        <w:tc>
          <w:tcPr>
            <w:tcW w:w="3000" w:type="dxa"/>
            <w:vAlign w:val="center"/>
          </w:tcPr>
          <w:p w14:paraId="07D6C2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建筑消防设计审查和验收监督检查。</w:t>
            </w:r>
          </w:p>
        </w:tc>
        <w:tc>
          <w:tcPr>
            <w:tcW w:w="1248" w:type="dxa"/>
            <w:vMerge w:val="continue"/>
            <w:vAlign w:val="center"/>
          </w:tcPr>
          <w:p w14:paraId="050CA6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368" w:type="dxa"/>
            <w:vMerge w:val="continue"/>
            <w:vAlign w:val="center"/>
          </w:tcPr>
          <w:p w14:paraId="77B41BE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896" w:type="dxa"/>
            <w:vMerge w:val="continue"/>
            <w:vAlign w:val="center"/>
          </w:tcPr>
          <w:p w14:paraId="500A2C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884" w:type="dxa"/>
            <w:vMerge w:val="continue"/>
            <w:vAlign w:val="center"/>
          </w:tcPr>
          <w:p w14:paraId="63F18E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52" w:type="dxa"/>
            <w:vMerge w:val="continue"/>
            <w:vAlign w:val="center"/>
          </w:tcPr>
          <w:p w14:paraId="78C084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757" w:type="dxa"/>
            <w:vMerge w:val="continue"/>
            <w:vAlign w:val="center"/>
          </w:tcPr>
          <w:p w14:paraId="41DF55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r>
      <w:tr w14:paraId="5EF5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97" w:type="dxa"/>
            <w:vMerge w:val="continue"/>
            <w:vAlign w:val="center"/>
          </w:tcPr>
          <w:p w14:paraId="65FD40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272" w:type="dxa"/>
            <w:vAlign w:val="center"/>
          </w:tcPr>
          <w:p w14:paraId="618A84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市场监督管理部门</w:t>
            </w:r>
          </w:p>
        </w:tc>
        <w:tc>
          <w:tcPr>
            <w:tcW w:w="3000" w:type="dxa"/>
            <w:vAlign w:val="center"/>
          </w:tcPr>
          <w:p w14:paraId="44E38A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食品经营许可和食品安全情况检查，特种设备使用单位监督检查。</w:t>
            </w:r>
          </w:p>
        </w:tc>
        <w:tc>
          <w:tcPr>
            <w:tcW w:w="1248" w:type="dxa"/>
            <w:vMerge w:val="continue"/>
            <w:vAlign w:val="center"/>
          </w:tcPr>
          <w:p w14:paraId="7DFF9E8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368" w:type="dxa"/>
            <w:vMerge w:val="continue"/>
            <w:vAlign w:val="center"/>
          </w:tcPr>
          <w:p w14:paraId="620DDF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896" w:type="dxa"/>
            <w:vMerge w:val="continue"/>
            <w:vAlign w:val="center"/>
          </w:tcPr>
          <w:p w14:paraId="73CD50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884" w:type="dxa"/>
            <w:vMerge w:val="continue"/>
            <w:vAlign w:val="center"/>
          </w:tcPr>
          <w:p w14:paraId="5469B3E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52" w:type="dxa"/>
            <w:vMerge w:val="continue"/>
            <w:vAlign w:val="center"/>
          </w:tcPr>
          <w:p w14:paraId="4BC747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757" w:type="dxa"/>
            <w:vMerge w:val="continue"/>
            <w:vAlign w:val="center"/>
          </w:tcPr>
          <w:p w14:paraId="6983E2B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r>
    </w:tbl>
    <w:p w14:paraId="0986DA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514104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p w14:paraId="06E00CA0">
      <w:pPr>
        <w:pStyle w:val="2"/>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14:paraId="7B089006">
      <w:pPr>
        <w:rPr>
          <w:rFonts w:hint="eastAsia"/>
          <w:lang w:val="en-US" w:eastAsia="zh-CN"/>
        </w:rPr>
      </w:pPr>
    </w:p>
    <w:p w14:paraId="2DB7AEE9">
      <w:pPr>
        <w:pStyle w:val="2"/>
        <w:rPr>
          <w:rFonts w:hint="eastAsia"/>
          <w:lang w:val="en-US" w:eastAsia="zh-CN"/>
        </w:rPr>
      </w:pPr>
    </w:p>
    <w:p w14:paraId="67E173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2</w:t>
      </w:r>
    </w:p>
    <w:p w14:paraId="2D04D8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宿州市</w:t>
      </w: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2022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年度养老服务机构“双随机、一公开”联合抽查情况</w:t>
      </w:r>
    </w:p>
    <w:p w14:paraId="15DAAB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汇总统计表</w:t>
      </w:r>
    </w:p>
    <w:p w14:paraId="56037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218"/>
        <w:gridCol w:w="1742"/>
        <w:gridCol w:w="997"/>
        <w:gridCol w:w="1647"/>
        <w:gridCol w:w="1428"/>
        <w:gridCol w:w="1467"/>
        <w:gridCol w:w="1937"/>
        <w:gridCol w:w="1491"/>
        <w:gridCol w:w="669"/>
      </w:tblGrid>
      <w:tr w14:paraId="261F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17" w:type="dxa"/>
            <w:vMerge w:val="restart"/>
            <w:vAlign w:val="center"/>
          </w:tcPr>
          <w:p w14:paraId="36EA906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检查部门</w:t>
            </w:r>
          </w:p>
        </w:tc>
        <w:tc>
          <w:tcPr>
            <w:tcW w:w="1224" w:type="dxa"/>
            <w:vMerge w:val="restart"/>
            <w:vAlign w:val="center"/>
          </w:tcPr>
          <w:p w14:paraId="3CA86E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检查机构数量（家）</w:t>
            </w:r>
          </w:p>
        </w:tc>
        <w:tc>
          <w:tcPr>
            <w:tcW w:w="1764" w:type="dxa"/>
            <w:vMerge w:val="restart"/>
            <w:vAlign w:val="center"/>
          </w:tcPr>
          <w:p w14:paraId="636AA1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出动执法检查人员（人次）</w:t>
            </w:r>
          </w:p>
        </w:tc>
        <w:tc>
          <w:tcPr>
            <w:tcW w:w="9769" w:type="dxa"/>
            <w:gridSpan w:val="7"/>
            <w:vAlign w:val="center"/>
          </w:tcPr>
          <w:p w14:paraId="2A7211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检查结果（家）</w:t>
            </w:r>
          </w:p>
        </w:tc>
      </w:tr>
      <w:tr w14:paraId="0098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vAlign w:val="center"/>
          </w:tcPr>
          <w:p w14:paraId="1015AF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224" w:type="dxa"/>
            <w:vMerge w:val="continue"/>
            <w:vAlign w:val="center"/>
          </w:tcPr>
          <w:p w14:paraId="3FA415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764" w:type="dxa"/>
            <w:vMerge w:val="continue"/>
            <w:vAlign w:val="center"/>
          </w:tcPr>
          <w:p w14:paraId="3263A3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008" w:type="dxa"/>
            <w:vAlign w:val="center"/>
          </w:tcPr>
          <w:p w14:paraId="6E17F04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未发现问题</w:t>
            </w:r>
          </w:p>
        </w:tc>
        <w:tc>
          <w:tcPr>
            <w:tcW w:w="1672" w:type="dxa"/>
            <w:vAlign w:val="center"/>
          </w:tcPr>
          <w:p w14:paraId="70AC85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通过登记的机构无法联系</w:t>
            </w:r>
          </w:p>
        </w:tc>
        <w:tc>
          <w:tcPr>
            <w:tcW w:w="1448" w:type="dxa"/>
            <w:vAlign w:val="center"/>
          </w:tcPr>
          <w:p w14:paraId="5169FF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发现问题已责令改正</w:t>
            </w:r>
          </w:p>
        </w:tc>
        <w:tc>
          <w:tcPr>
            <w:tcW w:w="1488" w:type="dxa"/>
            <w:vAlign w:val="center"/>
          </w:tcPr>
          <w:p w14:paraId="0952D0D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不配合检查情节严重</w:t>
            </w:r>
          </w:p>
        </w:tc>
        <w:tc>
          <w:tcPr>
            <w:tcW w:w="1968" w:type="dxa"/>
            <w:vAlign w:val="center"/>
          </w:tcPr>
          <w:p w14:paraId="22B41C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未发现开展本次抽查涉及的经营活动</w:t>
            </w:r>
          </w:p>
        </w:tc>
        <w:tc>
          <w:tcPr>
            <w:tcW w:w="1512" w:type="dxa"/>
            <w:vAlign w:val="center"/>
          </w:tcPr>
          <w:p w14:paraId="5EB4AC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发现问题待后续处理</w:t>
            </w:r>
          </w:p>
        </w:tc>
        <w:tc>
          <w:tcPr>
            <w:tcW w:w="673" w:type="dxa"/>
            <w:vAlign w:val="center"/>
          </w:tcPr>
          <w:p w14:paraId="194EB10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其他</w:t>
            </w:r>
          </w:p>
        </w:tc>
      </w:tr>
      <w:tr w14:paraId="4C28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17" w:type="dxa"/>
            <w:vAlign w:val="center"/>
          </w:tcPr>
          <w:p w14:paraId="6F38351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民政部门</w:t>
            </w:r>
          </w:p>
        </w:tc>
        <w:tc>
          <w:tcPr>
            <w:tcW w:w="1224" w:type="dxa"/>
            <w:vAlign w:val="center"/>
          </w:tcPr>
          <w:p w14:paraId="4DA61A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764" w:type="dxa"/>
            <w:vAlign w:val="center"/>
          </w:tcPr>
          <w:p w14:paraId="20893B4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008" w:type="dxa"/>
            <w:vAlign w:val="center"/>
          </w:tcPr>
          <w:p w14:paraId="09261F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672" w:type="dxa"/>
            <w:vAlign w:val="center"/>
          </w:tcPr>
          <w:p w14:paraId="72100F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48" w:type="dxa"/>
            <w:vAlign w:val="center"/>
          </w:tcPr>
          <w:p w14:paraId="68BCAF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88" w:type="dxa"/>
            <w:vAlign w:val="center"/>
          </w:tcPr>
          <w:p w14:paraId="484CEC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968" w:type="dxa"/>
            <w:vAlign w:val="center"/>
          </w:tcPr>
          <w:p w14:paraId="68E071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512" w:type="dxa"/>
            <w:vAlign w:val="center"/>
          </w:tcPr>
          <w:p w14:paraId="1C69FE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673" w:type="dxa"/>
            <w:vAlign w:val="center"/>
          </w:tcPr>
          <w:p w14:paraId="461055A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r>
      <w:tr w14:paraId="4A10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277807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住房城乡建设部门</w:t>
            </w:r>
          </w:p>
        </w:tc>
        <w:tc>
          <w:tcPr>
            <w:tcW w:w="1224" w:type="dxa"/>
            <w:vAlign w:val="center"/>
          </w:tcPr>
          <w:p w14:paraId="272809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764" w:type="dxa"/>
            <w:vAlign w:val="center"/>
          </w:tcPr>
          <w:p w14:paraId="7B0C73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008" w:type="dxa"/>
            <w:vAlign w:val="center"/>
          </w:tcPr>
          <w:p w14:paraId="2CB2EA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672" w:type="dxa"/>
            <w:vAlign w:val="center"/>
          </w:tcPr>
          <w:p w14:paraId="7F67FB3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48" w:type="dxa"/>
            <w:vAlign w:val="center"/>
          </w:tcPr>
          <w:p w14:paraId="3F5457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88" w:type="dxa"/>
            <w:vAlign w:val="center"/>
          </w:tcPr>
          <w:p w14:paraId="0CCA6FB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968" w:type="dxa"/>
            <w:vAlign w:val="center"/>
          </w:tcPr>
          <w:p w14:paraId="1BF3465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512" w:type="dxa"/>
            <w:vAlign w:val="center"/>
          </w:tcPr>
          <w:p w14:paraId="6A0586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673" w:type="dxa"/>
            <w:vAlign w:val="center"/>
          </w:tcPr>
          <w:p w14:paraId="39AAB9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r>
      <w:tr w14:paraId="782B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477443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市场监督管理部门</w:t>
            </w:r>
          </w:p>
        </w:tc>
        <w:tc>
          <w:tcPr>
            <w:tcW w:w="1224" w:type="dxa"/>
            <w:vAlign w:val="center"/>
          </w:tcPr>
          <w:p w14:paraId="17E96A9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764" w:type="dxa"/>
            <w:vAlign w:val="center"/>
          </w:tcPr>
          <w:p w14:paraId="77F73D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008" w:type="dxa"/>
            <w:vAlign w:val="center"/>
          </w:tcPr>
          <w:p w14:paraId="46D2CB8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672" w:type="dxa"/>
            <w:vAlign w:val="center"/>
          </w:tcPr>
          <w:p w14:paraId="4511E8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48" w:type="dxa"/>
            <w:vAlign w:val="center"/>
          </w:tcPr>
          <w:p w14:paraId="23735E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488" w:type="dxa"/>
            <w:vAlign w:val="center"/>
          </w:tcPr>
          <w:p w14:paraId="5AF995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968" w:type="dxa"/>
            <w:vAlign w:val="center"/>
          </w:tcPr>
          <w:p w14:paraId="1B946A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1512" w:type="dxa"/>
            <w:vAlign w:val="center"/>
          </w:tcPr>
          <w:p w14:paraId="4A7FDB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c>
          <w:tcPr>
            <w:tcW w:w="673" w:type="dxa"/>
            <w:vAlign w:val="center"/>
          </w:tcPr>
          <w:p w14:paraId="5C12B3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p>
        </w:tc>
      </w:tr>
      <w:tr w14:paraId="386A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174" w:type="dxa"/>
            <w:gridSpan w:val="10"/>
            <w:vAlign w:val="center"/>
          </w:tcPr>
          <w:p w14:paraId="2665AF5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vertAlign w:val="baseline"/>
                <w:lang w:val="en-US" w:eastAsia="zh-CN"/>
                <w14:textFill>
                  <w14:solidFill>
                    <w14:schemeClr w14:val="tx1"/>
                  </w14:solidFill>
                </w14:textFill>
              </w:rPr>
              <w:t>注意事项：该统计表由民政部门会同住房城乡建设、市场监督管理部门统一汇总填写上报</w:t>
            </w:r>
          </w:p>
        </w:tc>
      </w:tr>
    </w:tbl>
    <w:p w14:paraId="359F0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负责人：           填表人：         联系电话：           填表时间：      年  月  日</w:t>
      </w:r>
    </w:p>
    <w:p w14:paraId="102CB288">
      <w:pPr>
        <w:rPr>
          <w:rFonts w:hint="eastAsia"/>
          <w:lang w:val="en-US" w:eastAsia="zh-CN"/>
        </w:rPr>
      </w:pPr>
    </w:p>
    <w:sectPr>
      <w:pgSz w:w="16838" w:h="14173" w:orient="landscape"/>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93C6">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AB0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3AB0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2F87303">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u6O9QA&#10;AAAGAQAADwAAAAAAAAABACAAAAAiAAAAZHJzL2Rvd25yZXYueG1sUEsBAhQAFAAAAAgAh07iQNoU&#10;YarqAQAAtQMAAA4AAAAAAAAAAQAgAAAAIwEAAGRycy9lMm9Eb2MueG1sUEsFBgAAAAAGAAYAWQEA&#10;AH8FAAAAAA==&#10;">
              <v:fill on="f" focussize="0,0"/>
              <v:stroke weight="1.5pt" color="#4472C4 [3208]"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val="0"/>
        <w:bCs w:val="0"/>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581B3469">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7304">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4DCB748A">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415290</wp:posOffset>
              </wp:positionV>
              <wp:extent cx="5619750" cy="31750"/>
              <wp:effectExtent l="0" t="10795" r="0" b="14605"/>
              <wp:wrapNone/>
              <wp:docPr id="4" name="直接连接符 4"/>
              <wp:cNvGraphicFramePr/>
              <a:graphic xmlns:a="http://schemas.openxmlformats.org/drawingml/2006/main">
                <a:graphicData uri="http://schemas.microsoft.com/office/word/2010/wordprocessingShape">
                  <wps:wsp>
                    <wps:cNvCnPr/>
                    <wps:spPr>
                      <a:xfrm>
                        <a:off x="4133850" y="864870"/>
                        <a:ext cx="5619750"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5pt;margin-top:32.7pt;height:2.5pt;width:442.5pt;z-index:251659264;mso-width-relative:page;mso-height-relative:page;" filled="f" stroked="t" coordsize="21600,21600" o:gfxdata="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ees47UAAAABwEAAA8AAAAAAAAAAQAgAAAAIgAAAGRycy9kb3ducmV2LnhtbFBLAQIUABQA&#10;AAAIAIdO4kCS+qkN9AEAAME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formatting="1" w:enforcement="1" w:cryptProviderType="rsaFull" w:cryptAlgorithmClass="hash" w:cryptAlgorithmType="typeAny" w:cryptAlgorithmSid="4" w:cryptSpinCount="0" w:hash="613tS0UVUwSf6vcs2k+dmlXJlVY=" w:salt="yaHZePV80HHDeCLWLVIO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C227ABB"/>
    <w:rsid w:val="152D2DCA"/>
    <w:rsid w:val="16B35156"/>
    <w:rsid w:val="198E2B25"/>
    <w:rsid w:val="1A2170CF"/>
    <w:rsid w:val="1DEC284C"/>
    <w:rsid w:val="1E6523AC"/>
    <w:rsid w:val="22440422"/>
    <w:rsid w:val="31A15F24"/>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E064E0"/>
    <w:rsid w:val="572C6D10"/>
    <w:rsid w:val="5DC34279"/>
    <w:rsid w:val="5DC51367"/>
    <w:rsid w:val="5DCA16D1"/>
    <w:rsid w:val="608816D1"/>
    <w:rsid w:val="60EF4E7F"/>
    <w:rsid w:val="665233C1"/>
    <w:rsid w:val="6AD9688B"/>
    <w:rsid w:val="6D0E3F22"/>
    <w:rsid w:val="6E367A64"/>
    <w:rsid w:val="6E49626F"/>
    <w:rsid w:val="6EA91409"/>
    <w:rsid w:val="70BC57B2"/>
    <w:rsid w:val="7143439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3080</Words>
  <Characters>3226</Characters>
  <Lines>1</Lines>
  <Paragraphs>1</Paragraphs>
  <TotalTime>18</TotalTime>
  <ScaleCrop>false</ScaleCrop>
  <LinksUpToDate>false</LinksUpToDate>
  <CharactersWithSpaces>3275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2024-08-01T03:27:10Z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14EEA17F86F2406BB65EF4276EF3F880_13</vt:lpwstr>
  </property>
</Properties>
</file>