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spacing w:line="560" w:lineRule="exact"/>
        <w:ind w:firstLine="600"/>
        <w:rPr>
          <w:rFonts w:hint="eastAsia" w:ascii="黑体" w:hAnsi="黑体" w:eastAsia="黑体" w:cs="黑体"/>
          <w:sz w:val="30"/>
          <w:szCs w:val="30"/>
        </w:rPr>
      </w:pPr>
    </w:p>
    <w:p>
      <w:pPr>
        <w:spacing w:line="560" w:lineRule="exact"/>
        <w:ind w:firstLine="600"/>
        <w:rPr>
          <w:rFonts w:hint="eastAsia" w:ascii="黑体" w:hAnsi="黑体" w:eastAsia="黑体" w:cs="黑体"/>
          <w:sz w:val="30"/>
          <w:szCs w:val="30"/>
        </w:rPr>
      </w:pPr>
    </w:p>
    <w:p>
      <w:pPr>
        <w:spacing w:line="560" w:lineRule="exact"/>
        <w:ind w:firstLine="600"/>
        <w:rPr>
          <w:rFonts w:hint="eastAsia" w:ascii="黑体" w:hAnsi="黑体" w:eastAsia="黑体" w:cs="黑体"/>
          <w:sz w:val="30"/>
          <w:szCs w:val="30"/>
        </w:rPr>
      </w:pPr>
    </w:p>
    <w:p>
      <w:pPr>
        <w:pStyle w:val="3"/>
        <w:kinsoku w:val="0"/>
        <w:overflowPunct w:val="0"/>
        <w:spacing w:before="1"/>
        <w:ind w:left="89" w:right="-105" w:rightChars="0"/>
        <w:jc w:val="center"/>
        <w:rPr>
          <w:rFonts w:ascii="方正小标宋_GBK" w:eastAsia="方正小标宋_GBK" w:cs="方正小标宋_GBK"/>
          <w:sz w:val="44"/>
          <w:szCs w:val="44"/>
        </w:rPr>
      </w:pPr>
      <w:r>
        <w:rPr>
          <w:rFonts w:hint="eastAsia" w:ascii="方正小标宋_GBK" w:eastAsia="方正小标宋_GBK" w:cs="方正小标宋_GBK"/>
          <w:sz w:val="44"/>
          <w:szCs w:val="44"/>
          <w:lang w:val="en-US" w:eastAsia="zh-CN"/>
        </w:rPr>
        <w:t>政协事物运转保障经费</w:t>
      </w:r>
      <w:r>
        <w:rPr>
          <w:rFonts w:hint="eastAsia" w:ascii="方正小标宋_GBK" w:eastAsia="方正小标宋_GBK" w:cs="方正小标宋_GBK"/>
          <w:sz w:val="44"/>
          <w:szCs w:val="44"/>
        </w:rPr>
        <w:t>项目支出绩效评价报告</w:t>
      </w:r>
    </w:p>
    <w:p>
      <w:pPr>
        <w:spacing w:line="560" w:lineRule="exact"/>
        <w:ind w:firstLine="600"/>
        <w:rPr>
          <w:rFonts w:hint="eastAsia" w:ascii="黑体" w:hAnsi="黑体" w:eastAsia="黑体" w:cs="黑体"/>
          <w:sz w:val="30"/>
          <w:szCs w:val="30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spacing w:line="560" w:lineRule="exact"/>
        <w:ind w:firstLine="600"/>
        <w:rPr>
          <w:rFonts w:hint="eastAsia"/>
        </w:rPr>
      </w:pPr>
    </w:p>
    <w:p>
      <w:pPr>
        <w:pStyle w:val="3"/>
        <w:kinsoku w:val="0"/>
        <w:overflowPunct w:val="0"/>
        <w:spacing w:before="1"/>
        <w:ind w:left="89" w:right="1183"/>
        <w:jc w:val="center"/>
        <w:rPr>
          <w:rFonts w:hint="eastAsia" w:ascii="黑体" w:eastAsia="黑体" w:cs="黑体"/>
        </w:rPr>
      </w:pPr>
      <w:r>
        <w:rPr>
          <w:rFonts w:ascii="楷体" w:eastAsia="楷体" w:cs="楷体"/>
        </w:rPr>
        <w:t>20</w:t>
      </w:r>
      <w:r>
        <w:rPr>
          <w:rFonts w:hint="eastAsia" w:ascii="Arial" w:hAnsi="Arial" w:eastAsia="楷体" w:cs="Arial"/>
          <w:lang w:val="en-US" w:eastAsia="zh-CN"/>
        </w:rPr>
        <w:t>23</w:t>
      </w:r>
      <w:r>
        <w:rPr>
          <w:rFonts w:hint="eastAsia" w:ascii="楷体" w:hAnsi="Arial" w:eastAsia="楷体" w:cs="楷体"/>
        </w:rPr>
        <w:t>年</w:t>
      </w:r>
      <w:r>
        <w:rPr>
          <w:rFonts w:hint="eastAsia" w:ascii="Arial" w:hAnsi="Arial" w:eastAsia="楷体" w:cs="Arial"/>
          <w:lang w:val="en-US" w:eastAsia="zh-CN"/>
        </w:rPr>
        <w:t>3</w:t>
      </w:r>
      <w:r>
        <w:rPr>
          <w:rFonts w:hint="eastAsia" w:ascii="楷体" w:hAnsi="Arial" w:eastAsia="楷体" w:cs="楷体"/>
        </w:rPr>
        <w:t>月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textAlignment w:val="auto"/>
        <w:rPr>
          <w:rFonts w:hint="eastAsia" w:ascii="黑体" w:eastAsia="黑体" w:cs="黑体"/>
        </w:rPr>
      </w:pP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ind w:left="960" w:leftChars="0"/>
        <w:textAlignment w:val="auto"/>
        <w:rPr>
          <w:rFonts w:hint="eastAsia" w:ascii="黑体" w:eastAsia="黑体" w:cs="黑体"/>
        </w:rPr>
      </w:pP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textAlignment w:val="auto"/>
        <w:rPr>
          <w:rFonts w:hint="eastAsia" w:ascii="黑体" w:eastAsia="黑体" w:cs="黑体"/>
        </w:rPr>
      </w:pP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textAlignment w:val="auto"/>
        <w:rPr>
          <w:rFonts w:hint="eastAsia" w:ascii="黑体" w:eastAsia="黑体" w:cs="黑体"/>
        </w:rPr>
      </w:pP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ind w:left="960" w:leftChars="0"/>
        <w:textAlignment w:val="auto"/>
        <w:rPr>
          <w:rFonts w:hint="eastAsia" w:ascii="黑体" w:eastAsia="黑体" w:cs="黑体"/>
        </w:rPr>
      </w:pPr>
      <w:r>
        <w:rPr>
          <w:rFonts w:hint="eastAsia" w:ascii="黑体" w:eastAsia="黑体" w:cs="黑体"/>
          <w:lang w:eastAsia="zh-CN"/>
        </w:rPr>
        <w:t>一、</w:t>
      </w:r>
      <w:r>
        <w:rPr>
          <w:rFonts w:hint="eastAsia" w:ascii="黑体" w:eastAsia="黑体" w:cs="黑体"/>
        </w:rPr>
        <w:t>项目基本情况</w:t>
      </w:r>
    </w:p>
    <w:p>
      <w:pPr>
        <w:adjustRightInd w:val="0"/>
        <w:snapToGrid w:val="0"/>
        <w:spacing w:line="600" w:lineRule="exact"/>
        <w:ind w:firstLine="778" w:firstLineChars="250"/>
        <w:rPr>
          <w:rFonts w:hint="eastAsia" w:ascii="Times New Roman" w:hAnsi="Times New Roman" w:eastAsia="宋体" w:cs="Times New Roman"/>
          <w:b/>
          <w:bCs/>
          <w:color w:val="000000"/>
          <w:kern w:val="2"/>
          <w:sz w:val="31"/>
          <w:szCs w:val="3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2"/>
          <w:sz w:val="31"/>
          <w:szCs w:val="31"/>
          <w:lang w:val="en-US" w:eastAsia="zh-CN" w:bidi="ar-SA"/>
        </w:rPr>
        <w:t>“政协事物运转保障经费”（含党建、纪检监察工作经费、委员活动经费、九个专委会）项目。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（一）项目概述。本项目用于保障机关正常运行的经费项目。包含：党建、纪检监察经费，委员活动经费、九个专委会等。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（二）立项依据。根据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政协全年工作要点。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（三）起止时间。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2022年1月至2022年12月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（四）项目内容。 召开六届一次宿州市市政协全体会议、主席会议、常委会议、专题协商会、县区主席协商会等，向委员报告政协工作，听取委员建议，审查委员提案等。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（五）年度预算安排。本项目年度预算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441.91万元。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（六）绩效目标和指标。保障办公室、研究室、各专委会、纪检组等开展工作；保障政协会议召开。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通过规范资金使用，正常有序开展全年活动。</w:t>
      </w:r>
    </w:p>
    <w:p>
      <w:pPr>
        <w:pStyle w:val="3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ind w:left="751"/>
        <w:textAlignment w:val="auto"/>
        <w:rPr>
          <w:rFonts w:ascii="黑体" w:eastAsia="黑体" w:cs="黑体"/>
        </w:rPr>
      </w:pPr>
      <w:r>
        <w:rPr>
          <w:rFonts w:hint="eastAsia" w:ascii="黑体" w:eastAsia="黑体" w:cs="黑体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根据年初预算编制和年度工作任务，合理制定本部门绩效目标。组织本部门预算执行的绩效运行跟踪监控管理，纠正项目实施过程中的偏差。定期组织开展本部门的绩效自评工作，根据绩效评价结果进行整改、落实，改进部门预算绩效管理工作。</w:t>
      </w:r>
    </w:p>
    <w:p>
      <w:pPr>
        <w:pStyle w:val="3"/>
        <w:keepNext w:val="0"/>
        <w:keepLines w:val="0"/>
        <w:pageBreakBefore w:val="0"/>
        <w:numPr>
          <w:ilvl w:val="0"/>
          <w:numId w:val="1"/>
        </w:numPr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ind w:left="751" w:right="1534"/>
        <w:textAlignment w:val="auto"/>
        <w:rPr>
          <w:rFonts w:hint="eastAsia" w:ascii="黑体" w:eastAsia="黑体" w:cs="黑体"/>
        </w:rPr>
      </w:pPr>
      <w:r>
        <w:rPr>
          <w:rFonts w:hint="eastAsia" w:ascii="黑体" w:eastAsia="黑体" w:cs="黑体"/>
        </w:rPr>
        <w:t>综合评价情况及评价结论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经过对财务资料、统计数据等有关资料的分析，对部门整体支出的“目标设定”的合理性、相关性、明确性，“预算配置”的合理性、科学性，“预算执行、管理”的合法合规性、完整性，“资产管理”的合法合规性、规范性，“履职产出和效果”的真实性、相关性等方面进行全面详细分析计算，2022年度政协事物运转保障经费项目支出绩效自评综合得分100分。</w:t>
      </w:r>
    </w:p>
    <w:p>
      <w:pPr>
        <w:pStyle w:val="3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ind w:left="751"/>
        <w:textAlignment w:val="auto"/>
        <w:rPr>
          <w:rFonts w:hint="eastAsia" w:ascii="黑体" w:eastAsia="黑体" w:cs="黑体"/>
        </w:rPr>
      </w:pPr>
      <w:r>
        <w:rPr>
          <w:rFonts w:hint="eastAsia" w:ascii="黑体" w:eastAsia="黑体" w:cs="黑体"/>
          <w:lang w:eastAsia="zh-CN"/>
        </w:rPr>
        <w:t>四</w:t>
      </w:r>
      <w:r>
        <w:rPr>
          <w:rFonts w:hint="eastAsia" w:ascii="黑体" w:eastAsia="黑体" w:cs="黑体"/>
        </w:rPr>
        <w:t>、主要经验及做法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根据《预算法》和预算绩效管理相关规定，结合年度目标任务，在申报预算的同时，设立主要绩效目标，制定预算资金管理、财务管理制度、会计核算制度资产管理制度等内部控制制度。</w:t>
      </w:r>
    </w:p>
    <w:p>
      <w:pPr>
        <w:pStyle w:val="3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ind w:left="751"/>
        <w:textAlignment w:val="auto"/>
        <w:rPr>
          <w:rFonts w:hint="eastAsia" w:ascii="黑体" w:eastAsia="黑体" w:cs="黑体"/>
          <w:lang w:eastAsia="zh-CN"/>
        </w:rPr>
      </w:pPr>
      <w:r>
        <w:rPr>
          <w:rFonts w:hint="eastAsia" w:ascii="黑体" w:eastAsia="黑体" w:cs="黑体"/>
          <w:lang w:eastAsia="zh-CN"/>
        </w:rPr>
        <w:t>五、存在问题及原因分析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存在预算执行进度不均衡现象，主要是有些项目结算不及时，造成支出进度与预算执行要求不相符。</w:t>
      </w:r>
    </w:p>
    <w:p>
      <w:pPr>
        <w:pStyle w:val="3"/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ind w:left="751" w:right="4733"/>
        <w:textAlignment w:val="auto"/>
        <w:rPr>
          <w:rFonts w:ascii="黑体" w:eastAsia="黑体" w:cs="黑体"/>
        </w:rPr>
      </w:pPr>
      <w:r>
        <w:rPr>
          <w:rFonts w:hint="eastAsia" w:ascii="黑体" w:eastAsia="黑体" w:cs="黑体"/>
          <w:lang w:eastAsia="zh-CN"/>
        </w:rPr>
        <w:t>六</w:t>
      </w:r>
      <w:r>
        <w:rPr>
          <w:rFonts w:hint="eastAsia" w:ascii="黑体" w:eastAsia="黑体" w:cs="黑体"/>
        </w:rPr>
        <w:t>、有关建议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加强收支计划执行情况分析，加快资金执行进度。严格按照《预算法》的要求，尽早下达专项资金，建议每个季度进行一次财务收支计划执行情况的分析。加强项目绩效管理，建立完善的内部控制制度，提高资金使用效益。</w:t>
      </w:r>
    </w:p>
    <w:p>
      <w:pPr>
        <w:pStyle w:val="15"/>
        <w:keepNext w:val="0"/>
        <w:keepLines w:val="0"/>
        <w:pageBreakBefore w:val="0"/>
        <w:tabs>
          <w:tab w:val="left" w:pos="1715"/>
        </w:tabs>
        <w:kinsoku w:val="0"/>
        <w:wordWrap/>
        <w:overflowPunct w:val="0"/>
        <w:topLinePunct w:val="0"/>
        <w:autoSpaceDE w:val="0"/>
        <w:autoSpaceDN w:val="0"/>
        <w:bidi w:val="0"/>
        <w:snapToGrid/>
        <w:spacing w:line="600" w:lineRule="exact"/>
        <w:ind w:left="1392" w:firstLine="0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ordWrap/>
        <w:topLinePunct w:val="0"/>
        <w:autoSpaceDE w:val="0"/>
        <w:autoSpaceDN w:val="0"/>
        <w:bidi w:val="0"/>
        <w:snapToGrid/>
        <w:spacing w:line="600" w:lineRule="exact"/>
        <w:ind w:firstLine="600"/>
        <w:textAlignment w:val="auto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p>
      <w:pPr>
        <w:pStyle w:val="10"/>
      </w:pPr>
    </w:p>
    <w:sectPr>
      <w:pgSz w:w="11906" w:h="16838"/>
      <w:pgMar w:top="2041" w:right="1417" w:bottom="1928" w:left="1474" w:header="737" w:footer="851" w:gutter="0"/>
      <w:cols w:space="720" w:num="1"/>
      <w:docGrid w:type="lines" w:linePitch="312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8382"/>
    <w:multiLevelType w:val="singleLevel"/>
    <w:tmpl w:val="0D98838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E8"/>
    <w:rsid w:val="001F01E8"/>
    <w:rsid w:val="002E0303"/>
    <w:rsid w:val="004348DA"/>
    <w:rsid w:val="00481BCE"/>
    <w:rsid w:val="009E70A5"/>
    <w:rsid w:val="00AF6F90"/>
    <w:rsid w:val="00F52B69"/>
    <w:rsid w:val="01B54FBC"/>
    <w:rsid w:val="01E11FF6"/>
    <w:rsid w:val="01FD4964"/>
    <w:rsid w:val="04A13F13"/>
    <w:rsid w:val="05C91F03"/>
    <w:rsid w:val="11BE3859"/>
    <w:rsid w:val="14AF0A8C"/>
    <w:rsid w:val="15382E60"/>
    <w:rsid w:val="17F7750D"/>
    <w:rsid w:val="1A2F2F4E"/>
    <w:rsid w:val="21E36F42"/>
    <w:rsid w:val="24667F49"/>
    <w:rsid w:val="2B905571"/>
    <w:rsid w:val="2D5508A0"/>
    <w:rsid w:val="2D905D9D"/>
    <w:rsid w:val="2FC52F9A"/>
    <w:rsid w:val="310729CC"/>
    <w:rsid w:val="338257F6"/>
    <w:rsid w:val="350F0617"/>
    <w:rsid w:val="35EA7C7E"/>
    <w:rsid w:val="35F1068C"/>
    <w:rsid w:val="37BA1AB4"/>
    <w:rsid w:val="3A04322D"/>
    <w:rsid w:val="3D5F2CD3"/>
    <w:rsid w:val="3FCA6135"/>
    <w:rsid w:val="456611B0"/>
    <w:rsid w:val="499900CF"/>
    <w:rsid w:val="4A367484"/>
    <w:rsid w:val="4F4E6AB8"/>
    <w:rsid w:val="5C5A10FE"/>
    <w:rsid w:val="5CB94B06"/>
    <w:rsid w:val="5EE30EED"/>
    <w:rsid w:val="632A7F81"/>
    <w:rsid w:val="661764CF"/>
    <w:rsid w:val="66BD212D"/>
    <w:rsid w:val="67E20CE2"/>
    <w:rsid w:val="69B0718A"/>
    <w:rsid w:val="6D65287B"/>
    <w:rsid w:val="6DF17AE6"/>
    <w:rsid w:val="6E3B76C4"/>
    <w:rsid w:val="70051230"/>
    <w:rsid w:val="70601090"/>
    <w:rsid w:val="728769B4"/>
    <w:rsid w:val="73452DA8"/>
    <w:rsid w:val="73734DF2"/>
    <w:rsid w:val="7B7776DF"/>
    <w:rsid w:val="7DA214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autoSpaceDE w:val="0"/>
      <w:autoSpaceDN w:val="0"/>
      <w:jc w:val="both"/>
    </w:pPr>
    <w:rPr>
      <w:rFonts w:ascii="Calibri" w:hAnsi="宋体" w:eastAsia="宋体" w:cs="宋体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ind w:firstLine="624"/>
      <w:jc w:val="both"/>
      <w:textAlignment w:val="center"/>
    </w:pPr>
  </w:style>
  <w:style w:type="paragraph" w:styleId="3">
    <w:name w:val="Body Text"/>
    <w:basedOn w:val="1"/>
    <w:link w:val="14"/>
    <w:qFormat/>
    <w:uiPriority w:val="0"/>
    <w:pPr>
      <w:widowControl w:val="0"/>
      <w:adjustRightInd w:val="0"/>
      <w:jc w:val="left"/>
    </w:pPr>
    <w:rPr>
      <w:rFonts w:ascii="仿宋_GB2312" w:hAnsi="Times New Roman" w:eastAsia="仿宋_GB2312" w:cs="仿宋_GB2312"/>
      <w:sz w:val="32"/>
      <w:szCs w:val="32"/>
    </w:rPr>
  </w:style>
  <w:style w:type="paragraph" w:styleId="4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_Style 2"/>
    <w:basedOn w:val="1"/>
    <w:qFormat/>
    <w:uiPriority w:val="0"/>
    <w:pPr>
      <w:spacing w:line="351" w:lineRule="atLeast"/>
      <w:ind w:firstLine="623"/>
      <w:textAlignment w:val="baseline"/>
    </w:pPr>
    <w:rPr>
      <w:rFonts w:ascii="Times New Roman" w:hAnsi="Times New Roman" w:eastAsia="仿宋_GB2312" w:cs="Times New Roman"/>
      <w:color w:val="000000"/>
      <w:sz w:val="31"/>
      <w:szCs w:val="31"/>
    </w:rPr>
  </w:style>
  <w:style w:type="character" w:customStyle="1" w:styleId="11">
    <w:name w:val="页眉 Char"/>
    <w:basedOn w:val="9"/>
    <w:link w:val="6"/>
    <w:qFormat/>
    <w:uiPriority w:val="0"/>
    <w:rPr>
      <w:rFonts w:ascii="Calibri" w:hAnsi="宋体" w:eastAsia="宋体" w:cs="宋体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="Calibri" w:hAnsi="宋体" w:eastAsia="宋体" w:cs="宋体"/>
      <w:sz w:val="18"/>
      <w:szCs w:val="18"/>
    </w:rPr>
  </w:style>
  <w:style w:type="paragraph" w:customStyle="1" w:styleId="13">
    <w:name w:val="Heading 1"/>
    <w:basedOn w:val="1"/>
    <w:qFormat/>
    <w:uiPriority w:val="0"/>
    <w:pPr>
      <w:widowControl w:val="0"/>
      <w:adjustRightInd w:val="0"/>
      <w:spacing w:line="753" w:lineRule="exact"/>
      <w:ind w:right="332"/>
      <w:jc w:val="center"/>
      <w:outlineLvl w:val="0"/>
    </w:pPr>
    <w:rPr>
      <w:rFonts w:ascii="方正小标宋_GBK" w:hAnsi="Times New Roman" w:eastAsia="方正小标宋_GBK" w:cs="方正小标宋_GBK"/>
      <w:sz w:val="44"/>
      <w:szCs w:val="44"/>
    </w:rPr>
  </w:style>
  <w:style w:type="character" w:customStyle="1" w:styleId="14">
    <w:name w:val="正文文本 Char"/>
    <w:basedOn w:val="9"/>
    <w:link w:val="3"/>
    <w:qFormat/>
    <w:uiPriority w:val="0"/>
    <w:rPr>
      <w:rFonts w:ascii="仿宋_GB2312" w:hAnsi="Times New Roman" w:eastAsia="仿宋_GB2312" w:cs="仿宋_GB2312"/>
      <w:sz w:val="32"/>
      <w:szCs w:val="32"/>
    </w:rPr>
  </w:style>
  <w:style w:type="paragraph" w:customStyle="1" w:styleId="15">
    <w:name w:val="List Paragraph"/>
    <w:basedOn w:val="1"/>
    <w:qFormat/>
    <w:uiPriority w:val="0"/>
    <w:pPr>
      <w:widowControl w:val="0"/>
      <w:adjustRightInd w:val="0"/>
      <w:ind w:left="266" w:firstLine="640"/>
      <w:jc w:val="left"/>
    </w:pPr>
    <w:rPr>
      <w:rFonts w:ascii="仿宋_GB2312" w:hAnsi="Times New Roman" w:eastAsia="仿宋_GB2312" w:cs="仿宋_GB231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czj</Company>
  <Pages>4</Pages>
  <Words>80</Words>
  <Characters>457</Characters>
  <Lines>3</Lines>
  <Paragraphs>1</Paragraphs>
  <TotalTime>1</TotalTime>
  <ScaleCrop>false</ScaleCrop>
  <LinksUpToDate>false</LinksUpToDate>
  <CharactersWithSpaces>536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2020-03-05T03:12:00Z</dcterms:created>
  <dc:creator>liulu</dc:creator>
  <cp:lastModifiedBy>Administrator</cp:lastModifiedBy>
  <cp:lastPrinted>2021-07-02T02:11:00Z</cp:lastPrinted>
  <dcterms:modified xsi:type="dcterms:W3CDTF">2023-03-17T01:39:31Z</dcterms:modified>
  <dc:title>附件4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KSOSaveFontToCloudKey">
    <vt:lpwstr>240714766_btnclosed</vt:lpwstr>
  </property>
  <property fmtid="{D5CDD505-2E9C-101B-9397-08002B2CF9AE}" pid="4" name="ICV">
    <vt:lpwstr>6F0F17026DB444F698844B1E80437B9D</vt:lpwstr>
  </property>
</Properties>
</file>