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一、制定背景和依据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2023年5月11日，安徽省人民政府办公厅印发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安徽省药品安全突发事件应急预案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皖政办秘〔2023〕19号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根据文件要求，为进一步适应新形势下药品安全工作的需要，指导和规范全市药品（含疫苗、医疗器械和化妆品，下同）安全突发事件的应急处置工作，有效预防、积极应对、及时控制事件，最大限度降低危害，保障公众健康和生命安全，维护正常的社会经济秩序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市市场监管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宿州市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人民政府办公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关于印发疫苗药品和医疗器械安全突发事件应急预案的通知》（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政办秘〔20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的基础上，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征求相关科室和兄弟市预案，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起草了《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宿州市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药品安全突发事件应急预案（征求意见稿）》。</w:t>
      </w:r>
    </w:p>
    <w:p>
      <w:pPr>
        <w:bidi w:val="0"/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总体目标和重点举措</w:t>
      </w:r>
    </w:p>
    <w:p>
      <w:pPr>
        <w:bidi w:val="0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主要内容分9部分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第一部分是总则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，明确适用范围和工作原则，对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编制目的、编制依据、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事件分类分级等进行说明。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第二部分是组织指挥体系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级层面组织指挥机构、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工作组、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专家组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专业技术机构和县区组织指挥机构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等进行了规范，强化部门协同和地方属地管理责任。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第三部分是监测、预警，包括监测、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预警分级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预警信息发布、预警行动、预警调整和解除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等内容。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部分是处置措施，包括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先期处理、启动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响应级别调整、响应终止、信息发布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等内容。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第五部分是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恢复重建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包括善后处置、调查评估、恢复重建。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第六部分是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包括队伍保障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保障、物资保障、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医疗保障、交通保障、信息保障、社会动员保障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部分是日常管理与责任奖惩，明确宣传培训、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预案编制、应急演练、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奖惩要求。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部分是附则，明确专项预案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解释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和生效时间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部分是附件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列举药品、医疗器械、化妆品、疫苗突发安全事件分级标准和相关成员单位及职责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bidi w:val="0"/>
        <w:ind w:left="-332" w:leftChars="0" w:firstLine="664" w:firstLineChars="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和原方案相比不同之处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1.进一步明确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组织指挥体系。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级层面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启动Ⅰ级、Ⅱ级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Ⅲ级突发事件应急响应及涉及疫苗质量安全事件的Ⅳ级应急响应时，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政府成立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市应急指挥部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，统一组织应对工作。地方层面，县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市管园区管委会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承担辖区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药品安全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突发事件应对。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事件分级和响应分级分开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重大药品安全突发事件和较大疫苗质量安全事件，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市人民政府报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省人民政府决定启动Ⅱ级或涉及疫苗质量安全事件Ⅲ级的应急响应较大药品安全突发事件和一般疫苗质量安全事件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市应急指挥部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决定并启动Ⅲ级或涉及疫苗质量安全事件Ⅳ级应急响应。一般药品安全突发事件，由事发地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县（区）人民政府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决定并启动Ⅳ级应急响应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明确各自响应处置措施。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3.进一步明确处置措施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。分为信息报告、先期处理、启动应急响应、响应处置措施、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响应级别调整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响应终止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信息发布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等7个程序，对各个程序具体工作要求和步骤进一步细化。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4.进一步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应急保障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。明确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应急处置队伍、应急资金、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医疗救治、交通运输、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救援物资、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社会动员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在突发事件应对保障工作，明确牵头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支持部门。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黑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AD29E"/>
    <w:multiLevelType w:val="singleLevel"/>
    <w:tmpl w:val="937AD29E"/>
    <w:lvl w:ilvl="0" w:tentative="0">
      <w:start w:val="2"/>
      <w:numFmt w:val="chineseCounting"/>
      <w:suff w:val="nothing"/>
      <w:lvlText w:val="（%1）"/>
      <w:lvlJc w:val="left"/>
      <w:pPr>
        <w:ind w:left="-33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TdkZTM3ODMzM2NjNTU5MTlkYmJhNWM5YjY1OWMifQ=="/>
  </w:docVars>
  <w:rsids>
    <w:rsidRoot w:val="00000000"/>
    <w:rsid w:val="137B0804"/>
    <w:rsid w:val="4172666D"/>
    <w:rsid w:val="7343440B"/>
    <w:rsid w:val="7F4F9F6C"/>
    <w:rsid w:val="D6DFE20E"/>
    <w:rsid w:val="DDFFF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44.6666666666667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2023-11-22T23:10:15Z</dcterms:created>
  <dc:creator>uos</dc:creator>
  <cp:lastModifiedBy>汪妍</cp:lastModifiedBy>
  <dcterms:modified xsi:type="dcterms:W3CDTF">2023-11-22T09:33:14Z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F615DEC89E9644CEA451FD6A2A24D6B5_13</vt:lpwstr>
  </property>
</Properties>
</file>