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1" w:beforeLines="20" w:after="121" w:afterLines="20"/>
        <w:rPr>
          <w:rFonts w:eastAsia="方正黑体_GBK" w:cs="Times New Roman"/>
        </w:rPr>
      </w:pPr>
      <w:r>
        <w:rPr>
          <w:rFonts w:eastAsia="方正黑体_GBK" w:cs="Times New Roman"/>
        </w:rPr>
        <w:t>附件1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  <w:t>修订部分医疗服务价格项目表</w:t>
      </w:r>
    </w:p>
    <w:bookmarkEnd w:id="0"/>
    <w:tbl>
      <w:tblPr>
        <w:tblStyle w:val="4"/>
        <w:tblW w:w="13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433"/>
        <w:gridCol w:w="1387"/>
        <w:gridCol w:w="4565"/>
        <w:gridCol w:w="1250"/>
        <w:gridCol w:w="792"/>
        <w:gridCol w:w="893"/>
        <w:gridCol w:w="1601"/>
        <w:gridCol w:w="726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项目编码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项目内涵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除外内容</w:t>
            </w: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计价单位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价格（元）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计价说明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支付分类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统计分类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AAAA0005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方便门诊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诊察费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指单纯购药及慢性病病人定期检查等不需提供新的治疗方案的。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互联网远程方便门诊诊察费参照执行。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ACAC0001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一级护理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指病情趋向稳定的重症患者、手术后或者治疗期间需要严格卧床、生活完全不能自理或生活部分自理、病情随时可能发生变化的患者的护理。每小时巡视患者，观察患者病情变化，根据病情每日测量患者体温、脉搏、呼吸等生命体征，根据医嘱正确实施治疗、用药和护理，实施安全措施，对患者提供适宜的照顾和康复，健康指导。含术前备皮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6岁以下儿童加收30%。一级护理可同时收取不超过2项次的专项护理费用。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ACBK0001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引流管护理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指各种引流管护理，包含引流管冲洗。评估患者病情及引流情况等，核对患者信息，解释其目的取得配合，准备用物，取适当体位，戴手套，合理暴露伤口，观察引流液的量、色及性质，严格无菌操作原则用蘸有消毒液的棉签消毒，更换无菌敷料，倾倒引流液，观察患者生命体征，预防并发症，处理用物，记录，做好健康教育及心理护理。含胃、小肠、胆囊、膀胱、肾等造瘘管护理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两根及以上引流管护理加收100%。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ABZG0001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引流装置更换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指更换引流装置以保持引流通畅及预防感染。核对患者信息，解释操作目的取得配合。评估患者病情及引流情况，备齐用物至床旁，协助取舒适体位，暴露引流管连接部。戴手套，铺一次性铺单，分开引流管与引流装置，消毒引流管口，取出无菌引流装置与引流管连接，并妥善固定于床旁，检查引流是否通畅。注明引流装置更换时间。协助患者恢复舒适体位并整理床单位，洗手，记录，做好健康教育及心理护理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引流装置</w:t>
            </w: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ABGA0001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胃肠减压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根据病情需要连续观察，评估患者病情及腹部体征等，核对医嘱及患者信息，解释其目的取得配合，取适当体位，连接或更换胃肠减压装置，调节负压，协助患者恢复舒适体位，随时观察患者症状体征，观察胃液的量及性质，记录，做好健康教育及心理护理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ABGB0001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胃管置管术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评估患者病情及合作程度等，核对医嘱及患者信息，解释其目的取得配合，适当检查床头，取适当体位，选择并清洁鼻腔，测量插入深度，用麻醉润滑剂润滑消毒胃管前端约10厘米，插入胃管，检查患者口腔情况，注入液体前听取气过水声，用注射器抽吸胃液，确认胃管位置，固定外管封口并作标记，协助患者采取舒适体位，处理用物，观察患者反应并记录，做好健康教育及心理护理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三腔胃管</w:t>
            </w: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鼻饲（含医护人员注食、注药、十二指肠灌注）10元/日。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ABGD0001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肠内营养灌注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指经小肠营养管、小肠造瘘、胃造瘘药物灌注或要素饮食灌注，或经鼻胃管肠内营养灌注。评估患者病情及管路情况，核对医嘱及患者信息，配制营养液或药物等，调节适宜温度，解释其目的取得配合，取适当体位，注入少量温开水冲洗管路，调节速度（必要时用营养泵），用无菌注射器（或无菌营养泵管或无菌营养袋）注入药物（或要素饮食），确定管路位置并妥善固定，观察腹部体征，排泄情况及相关并发症等，灌注完毕冲洗管路，记录，做好健康教育及心理护理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ABHA0002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导尿管留置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留置尿管期间，保持尿管通畅、妥善固定、观察尿液的颜色、量及性质，及时排放尿液并记录，保持尿管和尿道口清洁，预防泌尿系感染。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220800008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超声计算机图文报告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含计算机图文处理、储存及图文报告。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内镜计算机图文报告参照执行，无论黑白或彩色。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240200002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专用X线机模拟定位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野次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每疗程收费不超过2野次。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240200003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专用X线机复杂模拟定位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指非共面4野以上之定位，包括CT等模拟定位。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野次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每疗程收费不超过2野次。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240500005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体架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头架参照执行。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每疗程收费不超过720元。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250302002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血清果糖胺测定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指糖化血清蛋白测定。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糖化白蛋白测定40元。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250310001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血清促甲状腺激素测定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指各种免疫学方法。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 xml:space="preserve">化学发光法加收100%；新生儿疾病筛查（时间分辨免疫荧光法）28元。  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250310053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 xml:space="preserve">甲状腺球蛋白测定 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化学发光法加收100%。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250401027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轻链KAPPA、LAMBDA定量（K-LC，λ-LC）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游离轻链KAPPA、LAMBDA定量（K-LC，λ-LC）加收200%；每项测定计费一次。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250402005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抗中性粒细胞胞浆抗体测定（ANCA）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250402041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抗CCP抗体测定（抗环瓜氨酸抗体）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CLFE8000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化学药物用药指导的基因检测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样本采集、签收、处理（据标本类型不同进行相应的前处理），提取基因组DNA，与质控品、阴阳性对照和内参同时扩增，分析扩增产物或杂交或测序等，进行基因分析，判断并审核结果，录入实验室信息系统或人工登记，发送报告；按规定处理废弃物；接受临床相关咨询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每个基因位点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第二个基因位点开始每个按50%收取。最高收费不超过1600元。基因位点数以最新临床指南为准。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260000017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血小板特异性和组织相容性（HLA）抗体检测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包括血小板抗体检测、血小板特异性抗体（含抗HPA、抗HLA）检测。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凝集法85元。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260000021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群体反应抗体检测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包括群体反应抗体筛查试验、群体反应抗体确定试验Ⅰ类分型、群体反应抗体确定试验Ⅱ类分型。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Luminex微珠法加收50%。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270700001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原位杂交技术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荧光染色体原位杂交检查1200元/次。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310205009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连续动态血糖监测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每24小时测定不少于288个血糖值。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最高收费不超过1500元。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310607001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高压氧舱治疗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含治疗压力为2个大气压以上（超高压除外）、舱内吸氧用面罩、头罩和安全防护措施、舱内医护人员监护和指导；不含舱内心电、呼吸监护和药物雾化吸入等。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平车占位加收50%。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310701020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无创心功能监测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包含心血流图、心尖搏动图。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310701028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血氧饱和度监测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用光电或红外传感器与患者的手指连接，利用床旁监测仪自动连续测量。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小时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310902002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24小时动态胃酸监测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含酸监测、碱监测和阻抗监测。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非动态50元。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310903001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经胃镜胃肠置管术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含电子胃镜检查。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空肠营养管</w:t>
            </w: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311400043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烧伤复合伤抢救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包括严重电烧伤、吸入性损伤、爆震伤以及烧伤复合伤合并中毒。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功能性敷料</w:t>
            </w: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311503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精神科治疗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非精神科须具有国家卫生健康委临床路径、诊疗规范或管理规范支持性依据方可提供服务。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320200003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经皮超选择性肝动脉造影术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导管</w:t>
            </w:r>
          </w:p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导丝</w:t>
            </w: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2025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320500007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冠脉血管内超声检查术（IVUS）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含术前的靶血管造影。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血管内超声导管</w:t>
            </w: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3375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冠脉光学相干断层扫描(OCT)检查按60%收费。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320600005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经皮穿刺脑血管腔内溶栓术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含取栓术、溶栓术。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导管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导丝</w:t>
            </w: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2700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3301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麻醉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同一病人在一次手术中实行联合麻醉（不含局部浸润麻醉、基础麻醉），只能在一种主要麻醉的基础上加收88元。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330100005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全身麻醉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含各种方式建立人工气道；吸入、静脉或吸静复合以及靶控输注分别参照执行。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喉罩</w:t>
            </w: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2小时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每增加1小时加收100元。不插管全身麻醉260元。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330100015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麻醉中监测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含心电图、脉搏氧饱和度、脑氧饱和度、心率变异分析、ST段分析、无创血压、呼气末二氧化碳、呼吸频率、潮气量、分钟通气量、气道压、肺顺应性、呼气末麻醉药浓度、体温、有创血压、中心静脉压、氧浓度、肌松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小时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麻醉恢复室监护参照执行。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330100017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体外循环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textAlignment w:val="center"/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全麻下，游离上腔静脉后间隙，套上腔静脉阻断带，游离主肺动脉间隔，分别缝合主动脉荷包，冠脉灌注荷包，上下腔静脉荷包和左心引流荷包，分别套入阻断管，体外循环转机排气，管钳夹闭主动脉和上下腔静脉端，剪开体外循环管道，分别插入主动脉插管，上下腔静脉插管，左心引流管和灌注管，固定并连接到体外循环管道，与体外循环医生核对插管是否连接正确后，转机，降温，游离下腔静脉后间隙，套入下腔静脉阻断带，待体外循环全流量后分别阻断上下腔静脉，从主肺动脉间隙阻断升主动脉，灌停跳液，剪开右心房，心包腔倒冰水心表降温，停跳液灌注完毕。在体外循环期间替代患者心肺功能，实时监测各项监测指标，根据实际情况添加药物，以维持循环及内环境稳定，保护重要脏器功能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73"/>
              </w:tabs>
              <w:snapToGrid w:val="0"/>
              <w:jc w:val="left"/>
              <w:textAlignment w:val="center"/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tabs>
                <w:tab w:val="left" w:pos="273"/>
              </w:tabs>
              <w:snapToGrid w:val="0"/>
              <w:jc w:val="left"/>
              <w:textAlignment w:val="center"/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tabs>
                <w:tab w:val="left" w:pos="273"/>
              </w:tabs>
              <w:snapToGrid w:val="0"/>
              <w:jc w:val="left"/>
              <w:textAlignment w:val="center"/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tabs>
                <w:tab w:val="left" w:pos="273"/>
              </w:tabs>
              <w:snapToGrid w:val="0"/>
              <w:jc w:val="left"/>
              <w:textAlignment w:val="center"/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体外循环管路、插管、微栓过滤器、离心泵头、灌注管、灌注器、氧合器、超滤器</w:t>
            </w: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小时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实行体外循环患者不得再收备体外循环费用。每增加一个小时加收150元。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330703015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小儿鸡胸矫正术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胸骨抬举固定或胸骨翻转缝合松解粘连带，小儿漏斗胸矫正术分别参照执行。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1406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成人鸡胸矫正术参照执行。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330802006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非体外循环冠状动脉搭桥术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一次性特殊牵开器、银夹</w:t>
            </w: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每支吻合血管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7125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含1支吻合血管，每增加1支吻合血管加收1700元。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330802033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主动脉弓置换术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除主动脉瓣以外的胸主动脉分别参照执行。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6938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全弓、次全弓替换加收20%。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331506019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半月板切除术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含切除术、缝合术。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2063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经关节镜加收400元；激光加收10%。</w:t>
            </w: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331604026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筋膜组织瓣形成术</w:t>
            </w:r>
          </w:p>
        </w:tc>
        <w:tc>
          <w:tcPr>
            <w:tcW w:w="45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消毒，麻醉，以超声多普勒测定血管蒂位置，设计皮瓣，分离切取由解剖学上知名动静脉血管供血的筋膜组织瓣，用于移植修复。不含供区植皮术。</w:t>
            </w:r>
          </w:p>
        </w:tc>
        <w:tc>
          <w:tcPr>
            <w:tcW w:w="12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每个部位</w:t>
            </w:r>
          </w:p>
        </w:tc>
        <w:tc>
          <w:tcPr>
            <w:tcW w:w="8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16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4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3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四、经血管介入含局麻</w:t>
            </w:r>
          </w:p>
        </w:tc>
        <w:tc>
          <w:tcPr>
            <w:tcW w:w="10522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bidi="ar"/>
              </w:rPr>
              <w:t>．“</w:t>
            </w: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造影剂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全部除外，导丝、导管、球囊、球囊导管、支架、滤网、血管止血装置(限股动脉使用）等特殊材料均为除外内容。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43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38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五、麻醉类（手术治疗）</w:t>
            </w:r>
          </w:p>
        </w:tc>
        <w:tc>
          <w:tcPr>
            <w:tcW w:w="10522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bidi="ar"/>
              </w:rPr>
              <w:t>．</w:t>
            </w: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使用各腔镜如下：关节镜加收400元/台次，椎间盘镜加收300元/台次，胸腔镜加收300元/台次，腹腔镜加收300元/台次，宫腔镜加收300元/台次，膀胱镜加收100元/台次，鼻腔内窥镜加收200元/台次，耳内窥镜加收200元/台次，脑室镜（颅内镜）加收500元/台次，其他内镜加收300元/台次，脑立体定向仪加收200元/台次。显微镜加收400元/台次。电钻加收180元/台次，神经导航系统3000元/台次，骨微动力系统1200元/台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0522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bidi="ar"/>
              </w:rPr>
              <w:t>．</w:t>
            </w: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同台进行多项手术（指同一切口进行多项相同或不同手术、不同切口进行多项相同或不同手术、双侧器官同时手术），第一项手术按全价收费，第二项手术按75%收费，第三项及以上手术均按60%收费；联合手术和分列手术项目同时存在的，按联合手术项目计价。计价说明另有规定的，按计价说明执行。双侧器官是指眼、耳、肺、乳腺、肾、输尿管、输卵管、卵巢、肢体。同台进行多项手术，麻醉费不再另外加收。</w:t>
            </w:r>
          </w:p>
        </w:tc>
      </w:tr>
    </w:tbl>
    <w:p>
      <w:pPr>
        <w:rPr>
          <w:rFonts w:eastAsia="方正黑体_GBK" w:cs="Times New Roman"/>
          <w:shd w:val="clear" w:color="auto" w:fill="FFFFFF"/>
        </w:rPr>
      </w:pPr>
      <w:r>
        <w:rPr>
          <w:rFonts w:eastAsia="方正黑体_GBK" w:cs="Times New Roman"/>
          <w:shd w:val="clear" w:color="auto" w:fill="FFFFFF"/>
        </w:rPr>
        <w:t>附件2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  <w:t>停用部分医疗服务价格项目表</w:t>
      </w:r>
    </w:p>
    <w:tbl>
      <w:tblPr>
        <w:tblStyle w:val="4"/>
        <w:tblW w:w="14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83"/>
        <w:gridCol w:w="1701"/>
        <w:gridCol w:w="3740"/>
        <w:gridCol w:w="1261"/>
        <w:gridCol w:w="840"/>
        <w:gridCol w:w="850"/>
        <w:gridCol w:w="1783"/>
        <w:gridCol w:w="842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项目编码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740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项目内涵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除外内容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计价单位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价格（元）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计价说明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支付分类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统计分类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ABAF0001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连续动态血糖监测装置安装术</w:t>
            </w:r>
          </w:p>
        </w:tc>
        <w:tc>
          <w:tcPr>
            <w:tcW w:w="3740" w:type="dxa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安装动态血糖监测电池调节时间等各项设置，遵医嘱设定，所用一次性动态血糖监测耗材登记，取下腹部最佳植入部位，皮肤消毒待干燥后将一次性血糖监测探头植入皮下，透明贴膜固定并贴上穿刺时间，于别针固定。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一次性血糖监测探头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783" w:type="dxa"/>
            <w:vAlign w:val="center"/>
          </w:tcPr>
          <w:p>
            <w:pPr>
              <w:spacing w:line="32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250302010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动态血糖监测</w:t>
            </w:r>
          </w:p>
        </w:tc>
        <w:tc>
          <w:tcPr>
            <w:tcW w:w="3740" w:type="dxa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24小时监测不少于288个血糖值。</w:t>
            </w:r>
          </w:p>
        </w:tc>
        <w:tc>
          <w:tcPr>
            <w:tcW w:w="1261" w:type="dxa"/>
            <w:vAlign w:val="center"/>
          </w:tcPr>
          <w:p>
            <w:pPr>
              <w:snapToGrid w:val="0"/>
              <w:spacing w:line="32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24小时监测。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250310053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spacing w:line="320" w:lineRule="exact"/>
              <w:textAlignment w:val="center"/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促甲状腺素（TSH）测定</w:t>
            </w:r>
          </w:p>
        </w:tc>
        <w:tc>
          <w:tcPr>
            <w:tcW w:w="3740" w:type="dxa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用于新生儿疾病筛查（时间分辨免疫荧光法）。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  <w:lang w:bidi="ar"/>
              </w:rPr>
              <w:t>B</w:t>
            </w:r>
          </w:p>
        </w:tc>
      </w:tr>
    </w:tbl>
    <w:p/>
    <w:sectPr>
      <w:headerReference r:id="rId3" w:type="even"/>
      <w:footerReference r:id="rId4" w:type="even"/>
      <w:pgSz w:w="16838" w:h="11906" w:orient="landscape"/>
      <w:pgMar w:top="1474" w:right="1701" w:bottom="1474" w:left="1701" w:header="851" w:footer="850" w:gutter="0"/>
      <w:cols w:space="0" w:num="1"/>
      <w:docGrid w:type="lines" w:linePitch="6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100" w:lineRule="exact"/>
      <w:rPr>
        <w:rFonts w:asciiTheme="minorHAnsi" w:hAnsiTheme="minorHAnsi" w:eastAsiaTheme="minorEastAsia" w:cstheme="minorBidi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3996055</wp:posOffset>
              </wp:positionH>
              <wp:positionV relativeFrom="paragraph">
                <wp:posOffset>-15875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cs="Times New Roman"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4.65pt;margin-top:-1.2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9ThJ9gAAAAKAQAADwAAAAAAAAABACAAAAAiAAAAZHJzL2Rvd25yZXYueG1s&#10;UEsBAhQAFAAAAAgAh07iQLytsHcxAgAAZ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cs="Times New Roman" w:eastAsia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t>12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100" w:lineRule="exact"/>
      <w:rPr>
        <w:rFonts w:asciiTheme="minorHAnsi" w:hAnsiTheme="minorHAnsi" w:eastAsiaTheme="minorEastAsia" w:cstheme="minorBidi"/>
        <w:sz w:val="18"/>
        <w:szCs w:val="24"/>
      </w:rPr>
    </w:pPr>
  </w:p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100" w:lineRule="exact"/>
      <w:rPr>
        <w:rFonts w:asciiTheme="minorHAnsi" w:hAnsiTheme="minorHAnsi" w:eastAsiaTheme="minorEastAsia" w:cstheme="minorBidi"/>
        <w:sz w:val="18"/>
        <w:szCs w:val="24"/>
      </w:rPr>
    </w:pPr>
  </w:p>
  <w:tbl>
    <w:tblPr>
      <w:tblStyle w:val="5"/>
      <w:tblW w:w="13606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shd w:val="clear" w:color="auto" w:fill="000000" w:themeFill="text1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360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000000" w:themeFill="text1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" w:hRule="exact"/>
        <w:jc w:val="center"/>
      </w:trPr>
      <w:tc>
        <w:tcPr>
          <w:tcW w:w="13606" w:type="dxa"/>
          <w:tcBorders>
            <w:tl2br w:val="nil"/>
            <w:tr2bl w:val="nil"/>
          </w:tcBorders>
          <w:shd w:val="clear" w:color="auto" w:fill="000000" w:themeFill="text1"/>
        </w:tcPr>
        <w:p>
          <w:pPr>
            <w:snapToGrid w:val="0"/>
            <w:rPr>
              <w:rFonts w:asciiTheme="minorHAnsi" w:hAnsiTheme="minorHAnsi" w:eastAsiaTheme="minorEastAsia" w:cstheme="minorBidi"/>
              <w:sz w:val="18"/>
              <w:szCs w:val="24"/>
            </w:rPr>
          </w:pPr>
        </w:p>
      </w:tc>
    </w:tr>
  </w:tbl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0" w:lineRule="exact"/>
      <w:rPr>
        <w:rFonts w:asciiTheme="minorHAnsi" w:hAnsiTheme="minorHAnsi" w:eastAsiaTheme="minorEastAsia" w:cstheme="minorBidi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5643880</wp:posOffset>
              </wp:positionH>
              <wp:positionV relativeFrom="paragraph">
                <wp:posOffset>8255</wp:posOffset>
              </wp:positionV>
              <wp:extent cx="2739390" cy="37338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30935" y="777240"/>
                        <a:ext cx="2739390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安徽省医疗保障局发布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4.4pt;margin-top:0.65pt;height:29.4pt;width:215.7pt;z-index:251660288;mso-width-relative:page;mso-height-relative:page;" filled="f" stroked="f" coordsize="21600,21600" o:gfxdata="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BgMyWtgAAAAJAQAADwAA&#10;AAAAAAABACAAAAAiAAAAZHJzL2Rvd25yZXYueG1sUEsBAhQAFAAAAAgAh07iQDFJqSxPAgAAgQQA&#10;AA4AAAAAAAAAAQAgAAAAJwEAAGRycy9lMm9Eb2MueG1sUEsFBgAAAAAGAAYAWQEAAOg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napToGrid w:val="0"/>
                      <w:jc w:val="center"/>
                      <w:rPr>
                        <w:rFonts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安徽省医疗保障局发布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spacing w:before="168" w:beforeLines="70"/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194945</wp:posOffset>
              </wp:positionH>
              <wp:positionV relativeFrom="paragraph">
                <wp:posOffset>93345</wp:posOffset>
              </wp:positionV>
              <wp:extent cx="2889885" cy="32004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283335" y="746760"/>
                        <a:ext cx="2889885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安徽省医疗保障局规范性文件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.35pt;margin-top:7.35pt;height:25.2pt;width:227.55pt;z-index:251659264;mso-width-relative:page;mso-height-relative:page;" filled="f" stroked="f" coordsize="21600,21600" o:gfxdata="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Kv6mydoAAAAIAQAADwAA&#10;AAAAAAABACAAAAAiAAAAZHJzL2Rvd25yZXYueG1sUEsBAhQAFAAAAAgAh07iQEP7sPlNAgAAgQQA&#10;AA4AAAAAAAAAAQAgAAAAKQEAAGRycy9lMm9Eb2MueG1sUEsFBgAAAAAGAAYAWQEAAOg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napToGrid w:val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安徽省医疗保障局规范性文件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Theme="minorEastAsia"/>
      </w:rPr>
      <w:drawing>
        <wp:inline distT="0" distB="0" distL="114300" distR="114300">
          <wp:extent cx="262890" cy="275590"/>
          <wp:effectExtent l="0" t="0" r="3810" b="10160"/>
          <wp:docPr id="20" name="图片 20" descr="454cddb6cf4d3c81a29bba35775f7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20" descr="454cddb6cf4d3c81a29bba35775f7cb"/>
                  <pic:cNvPicPr>
                    <a:picLocks noChangeAspect="1"/>
                  </pic:cNvPicPr>
                </pic:nvPicPr>
                <pic:blipFill>
                  <a:blip r:embed="rId1"/>
                  <a:srcRect l="9101" t="7972" r="11852" b="9101"/>
                  <a:stretch>
                    <a:fillRect/>
                  </a:stretch>
                </pic:blipFill>
                <pic:spPr>
                  <a:xfrm>
                    <a:off x="0" y="0"/>
                    <a:ext cx="262890" cy="275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5"/>
      <w:tblW w:w="13606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shd w:val="clear" w:color="auto" w:fill="000000" w:themeFill="text1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360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" w:hRule="exact"/>
        <w:jc w:val="center"/>
      </w:trPr>
      <w:tc>
        <w:tcPr>
          <w:tcW w:w="13606" w:type="dxa"/>
          <w:tcBorders>
            <w:tl2br w:val="nil"/>
            <w:tr2bl w:val="nil"/>
          </w:tcBorders>
          <w:shd w:val="clear" w:color="auto" w:fill="000000" w:themeFill="text1"/>
        </w:tcPr>
        <w:p>
          <w:pPr>
            <w:pStyle w:val="3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rPr>
              <w:rFonts w:eastAsiaTheme="minorEastAsia"/>
            </w:rPr>
          </w:pPr>
        </w:p>
      </w:tc>
    </w:tr>
  </w:tbl>
  <w:p>
    <w:pPr>
      <w:pStyle w:val="3"/>
      <w:spacing w:line="20" w:lineRule="exact"/>
      <w:rPr>
        <w:rFonts w:eastAsiaTheme="minorEastAsia"/>
      </w:rPr>
    </w:pPr>
  </w:p>
  <w:p>
    <w:pPr>
      <w:pStyle w:val="3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ZTMzNGU5OTFmNjU5ZDE2YjkzN2Q5MTI2MDlhNmIifQ=="/>
  </w:docVars>
  <w:rsids>
    <w:rsidRoot w:val="1CA7043E"/>
    <w:rsid w:val="1CA7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方正仿宋简体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2023-10-24T09:01:00Z</dcterms:created>
  <dc:creator>沈杨</dc:creator>
  <cp:lastModifiedBy>沈杨</cp:lastModifiedBy>
  <dcterms:modified xsi:type="dcterms:W3CDTF">2023-10-24T09:02:56Z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DE6B8DD55A154F71B325BEE32F2DCDDE_11</vt:lpwstr>
  </property>
</Properties>
</file>