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1" w:after="0" w:afterAutospacing="1" w:line="360" w:lineRule="auto"/>
        <w:ind w:left="0" w:right="0"/>
        <w:jc w:val="center"/>
      </w:pPr>
    </w:p>
    <w:p>
      <w:pPr>
        <w:keepNext w:val="0"/>
        <w:keepLines w:val="0"/>
        <w:widowControl/>
        <w:suppressLineNumbers w:val="0"/>
        <w:adjustRightInd w:val="0"/>
        <w:snapToGrid w:val="0"/>
        <w:spacing w:before="0" w:beforeAutospacing="1" w:after="0" w:afterAutospacing="1" w:line="360" w:lineRule="auto"/>
        <w:ind w:left="0" w:right="0"/>
        <w:jc w:val="center"/>
      </w:pPr>
    </w:p>
    <w:p>
      <w:pPr>
        <w:keepNext w:val="0"/>
        <w:keepLines w:val="0"/>
        <w:widowControl/>
        <w:suppressLineNumbers w:val="0"/>
        <w:adjustRightInd w:val="0"/>
        <w:snapToGrid w:val="0"/>
        <w:spacing w:before="0" w:beforeAutospacing="1" w:after="0" w:afterAutospacing="1" w:line="360" w:lineRule="auto"/>
        <w:ind w:left="0" w:right="0"/>
        <w:jc w:val="center"/>
      </w:pPr>
    </w:p>
    <w:p>
      <w:pPr>
        <w:keepNext w:val="0"/>
        <w:keepLines w:val="0"/>
        <w:widowControl/>
        <w:suppressLineNumbers w:val="0"/>
        <w:adjustRightInd w:val="0"/>
        <w:snapToGrid w:val="0"/>
        <w:spacing w:before="0" w:beforeAutospacing="1" w:after="0" w:afterAutospacing="1" w:line="360" w:lineRule="auto"/>
        <w:ind w:left="0" w:right="0"/>
        <w:jc w:val="center"/>
      </w:pPr>
      <w:r>
        <w:rPr>
          <w:rFonts w:ascii="华文中宋" w:hAnsi="华文中宋" w:eastAsia="华文中宋" w:cs="华文中宋"/>
          <w:b/>
          <w:kern w:val="2"/>
          <w:sz w:val="52"/>
          <w:szCs w:val="52"/>
          <w:lang w:val="en-US" w:eastAsia="zh-CN" w:bidi="ar"/>
        </w:rPr>
        <w:t>宿州市总工会</w:t>
      </w:r>
      <w:r>
        <w:rPr>
          <w:rFonts w:hint="default" w:ascii="华文中宋" w:hAnsi="华文中宋" w:eastAsia="华文中宋" w:cs="华文中宋"/>
          <w:b/>
          <w:kern w:val="2"/>
          <w:sz w:val="52"/>
          <w:szCs w:val="52"/>
          <w:lang w:val="en-US" w:eastAsia="zh-CN" w:bidi="ar"/>
        </w:rPr>
        <w:t>2019年部门预算</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黑体" w:hAnsi="宋体" w:eastAsia="黑体" w:cs="宋体"/>
          <w:kern w:val="0"/>
          <w:sz w:val="36"/>
          <w:szCs w:val="36"/>
        </w:rPr>
      </w:pPr>
    </w:p>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黑体" w:hAnsi="宋体" w:eastAsia="黑体" w:cs="宋体"/>
          <w:kern w:val="0"/>
          <w:sz w:val="36"/>
          <w:szCs w:val="36"/>
        </w:rPr>
      </w:pPr>
    </w:p>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黑体" w:hAnsi="宋体" w:eastAsia="黑体" w:cs="宋体"/>
          <w:kern w:val="0"/>
          <w:sz w:val="36"/>
          <w:szCs w:val="36"/>
        </w:rPr>
      </w:pPr>
    </w:p>
    <w:p>
      <w:pPr>
        <w:pStyle w:val="2"/>
        <w:keepNext w:val="0"/>
        <w:keepLines w:val="0"/>
        <w:widowControl/>
        <w:suppressLineNumbers w:val="0"/>
        <w:adjustRightInd w:val="0"/>
        <w:snapToGrid w:val="0"/>
        <w:spacing w:before="0" w:beforeAutospacing="0" w:after="0" w:afterAutospacing="0" w:line="360" w:lineRule="auto"/>
        <w:ind w:left="0" w:right="0"/>
        <w:jc w:val="both"/>
        <w:rPr>
          <w:rFonts w:hint="eastAsia" w:ascii="黑体" w:hAnsi="宋体" w:eastAsia="黑体" w:cs="宋体"/>
          <w:kern w:val="0"/>
          <w:sz w:val="36"/>
          <w:szCs w:val="36"/>
        </w:rPr>
      </w:pP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r>
        <w:rPr>
          <w:rFonts w:hint="eastAsia" w:ascii="黑体" w:hAnsi="宋体" w:eastAsia="黑体" w:cs="宋体"/>
          <w:kern w:val="0"/>
          <w:sz w:val="44"/>
          <w:szCs w:val="44"/>
        </w:rPr>
        <w:t>2019年2月</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黑体" w:hAnsi="宋体" w:eastAsia="黑体" w:cs="黑体"/>
          <w:kern w:val="0"/>
          <w:sz w:val="44"/>
          <w:szCs w:val="44"/>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textAlignment w:val="auto"/>
        <w:rPr>
          <w:rFonts w:hint="eastAsia" w:ascii="黑体" w:hAnsi="宋体" w:eastAsia="黑体" w:cs="黑体"/>
          <w:kern w:val="0"/>
          <w:sz w:val="44"/>
          <w:szCs w:val="44"/>
        </w:rPr>
      </w:pPr>
    </w:p>
    <w:p>
      <w:pPr>
        <w:pStyle w:val="2"/>
        <w:keepNext w:val="0"/>
        <w:keepLines w:val="0"/>
        <w:widowControl/>
        <w:suppressLineNumbers w:val="0"/>
        <w:adjustRightInd w:val="0"/>
        <w:snapToGrid w:val="0"/>
        <w:spacing w:before="0" w:beforeAutospacing="0" w:after="0" w:afterAutospacing="0" w:line="500" w:lineRule="exact"/>
        <w:ind w:left="0" w:right="0"/>
        <w:jc w:val="center"/>
      </w:pPr>
      <w:r>
        <w:rPr>
          <w:rFonts w:hint="eastAsia" w:ascii="黑体" w:hAnsi="宋体" w:eastAsia="黑体" w:cs="黑体"/>
          <w:kern w:val="0"/>
          <w:sz w:val="44"/>
          <w:szCs w:val="44"/>
        </w:rPr>
        <w:t>目</w:t>
      </w:r>
      <w:r>
        <w:rPr>
          <w:rFonts w:hint="eastAsia" w:ascii="黑体" w:hAnsi="宋体" w:eastAsia="黑体" w:cs="宋体"/>
          <w:kern w:val="0"/>
          <w:sz w:val="44"/>
          <w:szCs w:val="44"/>
        </w:rPr>
        <w:t xml:space="preserve"> </w:t>
      </w:r>
      <w:r>
        <w:rPr>
          <w:rFonts w:hint="eastAsia" w:ascii="黑体" w:hAnsi="宋体" w:eastAsia="黑体" w:cs="黑体"/>
          <w:kern w:val="0"/>
          <w:sz w:val="44"/>
          <w:szCs w:val="44"/>
        </w:rPr>
        <w:t>录</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3" w:firstLineChars="200"/>
        <w:jc w:val="both"/>
        <w:textAlignment w:val="auto"/>
      </w:pPr>
      <w:r>
        <w:rPr>
          <w:rFonts w:ascii="仿宋_GB2312" w:hAnsi="仿宋" w:eastAsia="仿宋_GB2312" w:cs="仿宋_GB2312"/>
          <w:b/>
          <w:kern w:val="0"/>
          <w:sz w:val="32"/>
          <w:szCs w:val="32"/>
        </w:rPr>
        <w:t>第一部分</w:t>
      </w:r>
      <w:r>
        <w:rPr>
          <w:rFonts w:hint="default" w:ascii="仿宋_GB2312" w:hAnsi="仿宋" w:eastAsia="仿宋_GB2312" w:cs="仿宋"/>
          <w:b/>
          <w:kern w:val="0"/>
          <w:sz w:val="32"/>
          <w:szCs w:val="32"/>
        </w:rPr>
        <w:t xml:space="preserve"> </w:t>
      </w:r>
      <w:r>
        <w:rPr>
          <w:rFonts w:hint="default" w:ascii="仿宋_GB2312" w:hAnsi="仿宋" w:eastAsia="仿宋_GB2312" w:cs="仿宋_GB2312"/>
          <w:b/>
          <w:kern w:val="0"/>
          <w:sz w:val="32"/>
          <w:szCs w:val="32"/>
        </w:rPr>
        <w:t>部门概况</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1.主要职责</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2.部门预算单位构成</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3.2019年度主要工作任务</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3" w:firstLineChars="200"/>
        <w:textAlignment w:val="auto"/>
      </w:pPr>
      <w:r>
        <w:rPr>
          <w:rFonts w:hint="default" w:ascii="仿宋_GB2312" w:hAnsi="仿宋" w:eastAsia="仿宋_GB2312" w:cs="仿宋_GB2312"/>
          <w:b/>
          <w:kern w:val="0"/>
          <w:sz w:val="32"/>
          <w:szCs w:val="32"/>
        </w:rPr>
        <w:t>第二部分</w:t>
      </w:r>
      <w:r>
        <w:rPr>
          <w:rFonts w:hint="default" w:ascii="仿宋_GB2312" w:hAnsi="仿宋" w:eastAsia="仿宋_GB2312" w:cs="仿宋"/>
          <w:b/>
          <w:kern w:val="0"/>
          <w:sz w:val="32"/>
          <w:szCs w:val="32"/>
        </w:rPr>
        <w:t xml:space="preserve"> 2019年部门预算表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outlineLvl w:val="0"/>
      </w:pPr>
      <w:r>
        <w:rPr>
          <w:rFonts w:hint="default" w:ascii="仿宋_GB2312" w:hAnsi="仿宋" w:eastAsia="仿宋_GB2312" w:cs="仿宋"/>
          <w:kern w:val="0"/>
          <w:sz w:val="32"/>
          <w:szCs w:val="32"/>
        </w:rPr>
        <w:t>1.宿州市总工会2019年财政拨款收支总表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2.宿州市总工会2019年一般公共预算支出表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outlineLvl w:val="0"/>
      </w:pPr>
      <w:r>
        <w:rPr>
          <w:rFonts w:hint="default" w:ascii="仿宋_GB2312" w:hAnsi="仿宋" w:eastAsia="仿宋_GB2312" w:cs="仿宋"/>
          <w:kern w:val="0"/>
          <w:sz w:val="32"/>
          <w:szCs w:val="32"/>
        </w:rPr>
        <w:t>3.宿州市总工会2019年一般公共预算基本支出表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4.宿州市总工会2019年政府性基金预算支出表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outlineLvl w:val="0"/>
      </w:pPr>
      <w:r>
        <w:rPr>
          <w:rFonts w:hint="default" w:ascii="仿宋_GB2312" w:hAnsi="仿宋" w:eastAsia="仿宋_GB2312" w:cs="仿宋"/>
          <w:kern w:val="0"/>
          <w:sz w:val="32"/>
          <w:szCs w:val="32"/>
        </w:rPr>
        <w:t>5.宿州市总工会2019年国有资本经营预算支出表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6.宿州市总工会2019年收支总表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7.宿州市总工会2019年收入总表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8.宿州市总工会2019年支出总表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9.宿州市总工会2019年政府采购支出表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10.宿州市总工会2019年政府购买服务支出表</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3" w:firstLineChars="200"/>
        <w:textAlignment w:val="auto"/>
      </w:pPr>
      <w:r>
        <w:rPr>
          <w:rFonts w:hint="default" w:ascii="仿宋_GB2312" w:hAnsi="仿宋" w:eastAsia="仿宋_GB2312" w:cs="仿宋_GB2312"/>
          <w:b/>
          <w:kern w:val="0"/>
          <w:sz w:val="32"/>
          <w:szCs w:val="32"/>
        </w:rPr>
        <w:t>第三部分</w:t>
      </w:r>
      <w:r>
        <w:rPr>
          <w:rFonts w:hint="default" w:ascii="仿宋_GB2312" w:hAnsi="仿宋" w:eastAsia="仿宋_GB2312" w:cs="仿宋"/>
          <w:b/>
          <w:kern w:val="0"/>
          <w:sz w:val="32"/>
          <w:szCs w:val="32"/>
        </w:rPr>
        <w:t xml:space="preserve"> 2019年部门预算情况说明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outlineLvl w:val="0"/>
      </w:pPr>
      <w:r>
        <w:rPr>
          <w:rFonts w:hint="default" w:ascii="仿宋_GB2312" w:hAnsi="仿宋" w:eastAsia="仿宋_GB2312" w:cs="仿宋"/>
          <w:kern w:val="0"/>
          <w:sz w:val="32"/>
          <w:szCs w:val="32"/>
        </w:rPr>
        <w:t>1.关于2019年财政拨款收支预算总体情况说明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2.关于2019年一般公共预算财政拨款情况说明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outlineLvl w:val="0"/>
      </w:pPr>
      <w:r>
        <w:rPr>
          <w:rFonts w:hint="default" w:ascii="仿宋_GB2312" w:hAnsi="仿宋" w:eastAsia="仿宋_GB2312" w:cs="仿宋"/>
          <w:kern w:val="0"/>
          <w:sz w:val="32"/>
          <w:szCs w:val="32"/>
        </w:rPr>
        <w:t>3.关于2019年一般公共预算基本支出情况说明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4.关于2019年政府性基金预算拨款情况说明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outlineLvl w:val="0"/>
      </w:pPr>
      <w:r>
        <w:rPr>
          <w:rFonts w:hint="default" w:ascii="仿宋_GB2312" w:hAnsi="仿宋" w:eastAsia="仿宋_GB2312" w:cs="仿宋"/>
          <w:kern w:val="0"/>
          <w:sz w:val="32"/>
          <w:szCs w:val="32"/>
        </w:rPr>
        <w:t>5.关于2019年国有资本经营预算拨款情况说明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6.关于2019年收支预算总体情况说明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7.关于2019年收入预算情况说明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8.关于2019年支出预算情况说明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0" w:firstLineChars="200"/>
        <w:textAlignment w:val="auto"/>
      </w:pPr>
      <w:r>
        <w:rPr>
          <w:rFonts w:hint="default" w:ascii="仿宋_GB2312" w:hAnsi="仿宋" w:eastAsia="仿宋_GB2312" w:cs="仿宋"/>
          <w:kern w:val="0"/>
          <w:sz w:val="32"/>
          <w:szCs w:val="32"/>
        </w:rPr>
        <w:t>9.其他重要事项情况说明</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460" w:lineRule="exact"/>
        <w:ind w:left="0" w:right="0" w:firstLine="643" w:firstLineChars="200"/>
        <w:textAlignment w:val="auto"/>
      </w:pPr>
      <w:r>
        <w:rPr>
          <w:rFonts w:hint="default" w:ascii="仿宋_GB2312" w:hAnsi="仿宋" w:eastAsia="仿宋_GB2312" w:cs="仿宋_GB2312"/>
          <w:b/>
          <w:kern w:val="0"/>
          <w:sz w:val="32"/>
          <w:szCs w:val="32"/>
        </w:rPr>
        <w:t>第四部分</w:t>
      </w:r>
      <w:r>
        <w:rPr>
          <w:rFonts w:hint="default" w:ascii="仿宋_GB2312" w:hAnsi="仿宋" w:eastAsia="仿宋_GB2312" w:cs="仿宋"/>
          <w:b/>
          <w:kern w:val="0"/>
          <w:sz w:val="32"/>
          <w:szCs w:val="32"/>
        </w:rPr>
        <w:t xml:space="preserve"> </w:t>
      </w:r>
      <w:r>
        <w:rPr>
          <w:rFonts w:hint="default" w:ascii="仿宋_GB2312" w:hAnsi="仿宋" w:eastAsia="仿宋_GB2312" w:cs="仿宋_GB2312"/>
          <w:b/>
          <w:kern w:val="0"/>
          <w:sz w:val="32"/>
          <w:szCs w:val="32"/>
        </w:rPr>
        <w:t>名词解释</w:t>
      </w:r>
    </w:p>
    <w:p>
      <w:pPr>
        <w:pStyle w:val="2"/>
        <w:keepNext w:val="0"/>
        <w:keepLines w:val="0"/>
        <w:widowControl/>
        <w:suppressLineNumbers w:val="0"/>
        <w:adjustRightInd w:val="0"/>
        <w:snapToGrid w:val="0"/>
        <w:spacing w:before="0" w:beforeAutospacing="0" w:after="0" w:afterAutospacing="0" w:line="360" w:lineRule="auto"/>
        <w:ind w:left="0" w:right="0"/>
        <w:jc w:val="center"/>
        <w:rPr>
          <w:rFonts w:hint="eastAsia" w:ascii="黑体" w:hAnsi="宋体" w:eastAsia="黑体" w:cs="黑体"/>
          <w:kern w:val="0"/>
          <w:sz w:val="36"/>
          <w:szCs w:val="36"/>
        </w:rPr>
      </w:pP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黑体"/>
          <w:kern w:val="0"/>
          <w:sz w:val="36"/>
          <w:szCs w:val="36"/>
        </w:rPr>
        <w:t>第一部分</w:t>
      </w:r>
      <w:r>
        <w:rPr>
          <w:rFonts w:hint="eastAsia" w:ascii="黑体" w:hAnsi="宋体" w:eastAsia="黑体" w:cs="宋体"/>
          <w:kern w:val="0"/>
          <w:sz w:val="36"/>
          <w:szCs w:val="36"/>
        </w:rPr>
        <w:t xml:space="preserve"> </w:t>
      </w:r>
      <w:r>
        <w:rPr>
          <w:rFonts w:hint="eastAsia" w:ascii="黑体" w:hAnsi="宋体" w:eastAsia="黑体" w:cs="黑体"/>
          <w:kern w:val="0"/>
          <w:sz w:val="36"/>
          <w:szCs w:val="36"/>
        </w:rPr>
        <w:t>部门概况</w:t>
      </w:r>
    </w:p>
    <w:p>
      <w:pPr>
        <w:pStyle w:val="2"/>
        <w:keepNext w:val="0"/>
        <w:keepLines w:val="0"/>
        <w:widowControl/>
        <w:suppressLineNumbers w:val="0"/>
        <w:adjustRightInd w:val="0"/>
        <w:snapToGrid w:val="0"/>
        <w:spacing w:before="0" w:beforeAutospacing="0" w:after="0" w:afterAutospacing="0" w:line="560" w:lineRule="exact"/>
        <w:ind w:left="0" w:right="0" w:firstLine="627" w:firstLineChars="196"/>
        <w:jc w:val="both"/>
      </w:pPr>
      <w:r>
        <w:rPr>
          <w:rFonts w:hint="eastAsia" w:ascii="黑体" w:hAnsi="宋体" w:eastAsia="黑体" w:cs="黑体"/>
          <w:kern w:val="0"/>
          <w:sz w:val="32"/>
          <w:szCs w:val="32"/>
        </w:rPr>
        <w:t>一、主要职责</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宿州市总工会是中共宿州市委领导的职工自愿结合的工人阶级群众组织，是党联系职工群众的桥梁和纽带，是全市会员和职工利益的代表，是全市各级工会的领导机关。依据《中华人民共和国工会法》、《中国工会章程》规定，其主要职责是：</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（1）根据党的基本理论、基本路线、基本纲领和工运方针，围绕市委、市政府的中心工作和全国总工会、省总工会的工作部署，贯彻执行市工会代表大会和全委会确定的任务和作出的决议。</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（2）依照《工会法》等法律和《中国工会章程》，组织和指导全市各级工会坚定不移地贯彻落实党的全心全意依靠工人阶级的根本指导方针，进一步突出和履行维护职能。</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3）对有关职工合法权益的重大问题进行调查研究，向市委、市政府反映职工群众的思想、愿望和要求，提出意见和建议；参与涉及职工切身利益的政策、措施、制度的拟定和有关立法工作；协助政府推动再就业和困难职工的帮扶工作；参与职工重大伤亡事故的调查处理；坚持与政府的联席（联系）会议制度。</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4）负责工会理论政策研究和当代工运的调查研究工作；研究指导工会的自身改革和建设；指导全市各级工会开展以职工代表大会为基本制度的民主选举、民主决策、民主管理、民主监督工作，推动建立平等协商、集体合同制度和监督保证机制的工作。</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（5）协助县、区党委和有关部、委、办、局党委（党工委、党组）管理市辖县（处）级工会、市级产业工会领导班子；制定和组织实施全市工会干部培训规划。</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6）根据市政府委托，与有关部门共同做好市级以上劳动模范和先进生产（工作）者推荐、评选、表彰和管理工作；负责全国、省级“五一”劳动奖章、奖状获得者的评选和管理工作；组织开展全市职工劳动竞赛、合理化建议、技术革新和技术协作活动。</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（7）负责工会经费和工会资产的管理、审查、审计工作，研究制定工会组织兴办职工劳动福利事业的有关政策规定；负责工会兴办的职工劳动福利事业的指导、协调工作。</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（8）负责全市工会系统的对外交往和联络工作，负责与国外境外工会组织的交流与合作。</w:t>
      </w:r>
    </w:p>
    <w:p>
      <w:pPr>
        <w:pStyle w:val="2"/>
        <w:keepNext w:val="0"/>
        <w:keepLines w:val="0"/>
        <w:widowControl/>
        <w:suppressLineNumbers w:val="0"/>
        <w:adjustRightInd w:val="0"/>
        <w:snapToGrid w:val="0"/>
        <w:spacing w:before="0" w:beforeAutospacing="0" w:after="0" w:afterAutospacing="0" w:line="560" w:lineRule="exact"/>
        <w:ind w:left="0" w:right="0" w:firstLine="640" w:firstLineChars="200"/>
        <w:jc w:val="both"/>
      </w:pPr>
      <w:r>
        <w:rPr>
          <w:rFonts w:hint="eastAsia" w:ascii="仿宋" w:hAnsi="仿宋" w:eastAsia="仿宋" w:cs="仿宋"/>
          <w:kern w:val="0"/>
          <w:sz w:val="32"/>
          <w:szCs w:val="32"/>
        </w:rPr>
        <w:t>（9）承担市委、市政府和上级工会交办的其它工作。</w:t>
      </w:r>
    </w:p>
    <w:p>
      <w:pPr>
        <w:pStyle w:val="2"/>
        <w:keepNext w:val="0"/>
        <w:keepLines w:val="0"/>
        <w:widowControl/>
        <w:suppressLineNumbers w:val="0"/>
        <w:adjustRightInd w:val="0"/>
        <w:snapToGrid w:val="0"/>
        <w:spacing w:before="0" w:beforeAutospacing="0" w:after="0" w:afterAutospacing="0" w:line="560" w:lineRule="exact"/>
        <w:ind w:left="0" w:right="0" w:firstLine="627" w:firstLineChars="196"/>
        <w:jc w:val="both"/>
      </w:pPr>
      <w:r>
        <w:rPr>
          <w:rFonts w:hint="eastAsia" w:ascii="黑体" w:hAnsi="宋体" w:eastAsia="黑体" w:cs="黑体"/>
          <w:kern w:val="0"/>
          <w:sz w:val="32"/>
          <w:szCs w:val="32"/>
        </w:rPr>
        <w:t>二、部门预算单位构成</w:t>
      </w:r>
    </w:p>
    <w:p>
      <w:pPr>
        <w:pStyle w:val="2"/>
        <w:keepNext w:val="0"/>
        <w:keepLines w:val="0"/>
        <w:widowControl/>
        <w:suppressLineNumbers w:val="0"/>
        <w:adjustRightInd w:val="0"/>
        <w:snapToGrid w:val="0"/>
        <w:spacing w:before="0" w:beforeAutospacing="0" w:after="0" w:afterAutospacing="0" w:line="560" w:lineRule="exact"/>
        <w:ind w:left="0" w:right="0" w:firstLine="627" w:firstLineChars="196"/>
        <w:jc w:val="both"/>
      </w:pPr>
      <w:r>
        <w:rPr>
          <w:rFonts w:hint="default" w:ascii="仿宋_GB2312" w:hAnsi="仿宋" w:eastAsia="仿宋_GB2312" w:cs="仿宋_GB2312"/>
          <w:kern w:val="0"/>
          <w:sz w:val="32"/>
          <w:szCs w:val="32"/>
        </w:rPr>
        <w:t>从预算单位构成看，宿州市总工会</w:t>
      </w:r>
      <w:r>
        <w:rPr>
          <w:rFonts w:hint="default" w:ascii="仿宋_GB2312" w:hAnsi="仿宋" w:eastAsia="仿宋_GB2312" w:cs="宋体"/>
          <w:kern w:val="0"/>
          <w:sz w:val="32"/>
          <w:szCs w:val="32"/>
        </w:rPr>
        <w:t>2019年度部门预算包括市总本级预算，纳入部门预算编制范围的单位共1个，具体情况见下表。</w:t>
      </w:r>
    </w:p>
    <w:tbl>
      <w:tblPr>
        <w:tblStyle w:val="3"/>
        <w:tblpPr w:leftFromText="180" w:rightFromText="180" w:vertAnchor="text" w:horzAnchor="page" w:tblpX="2048" w:tblpY="301"/>
        <w:tblOverlap w:val="neve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00"/>
        <w:gridCol w:w="36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0" w:hRule="atLeast"/>
        </w:trPr>
        <w:tc>
          <w:tcPr>
            <w:tcW w:w="90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djustRightInd w:val="0"/>
              <w:snapToGrid w:val="0"/>
              <w:spacing w:before="0" w:beforeAutospacing="1" w:after="0" w:afterAutospacing="1" w:line="560" w:lineRule="exact"/>
              <w:ind w:left="0" w:right="0"/>
              <w:jc w:val="center"/>
            </w:pPr>
            <w:r>
              <w:rPr>
                <w:rFonts w:hint="default" w:ascii="仿宋_GB2312" w:hAnsi="宋体" w:eastAsia="仿宋_GB2312" w:cs="仿宋_GB2312"/>
                <w:kern w:val="2"/>
                <w:sz w:val="24"/>
                <w:szCs w:val="24"/>
                <w:lang w:val="en-US" w:eastAsia="zh-CN" w:bidi="ar"/>
              </w:rPr>
              <w:t>序号</w:t>
            </w:r>
          </w:p>
        </w:tc>
        <w:tc>
          <w:tcPr>
            <w:tcW w:w="3600"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djustRightInd w:val="0"/>
              <w:snapToGrid w:val="0"/>
              <w:spacing w:before="0" w:beforeAutospacing="1" w:after="0" w:afterAutospacing="1" w:line="560" w:lineRule="exact"/>
              <w:ind w:left="0" w:right="0"/>
              <w:jc w:val="center"/>
            </w:pPr>
            <w:r>
              <w:rPr>
                <w:rFonts w:hint="default" w:ascii="仿宋_GB2312" w:hAnsi="宋体" w:eastAsia="仿宋_GB2312" w:cs="仿宋_GB2312"/>
                <w:kern w:val="2"/>
                <w:sz w:val="24"/>
                <w:szCs w:val="24"/>
                <w:lang w:val="en-US" w:eastAsia="zh-CN" w:bidi="ar"/>
              </w:rPr>
              <w:t>单位名称</w:t>
            </w:r>
          </w:p>
        </w:tc>
        <w:tc>
          <w:tcPr>
            <w:tcW w:w="4500" w:type="dxa"/>
            <w:tcBorders>
              <w:top w:val="single" w:color="auto" w:sz="8" w:space="0"/>
              <w:left w:val="nil"/>
              <w:bottom w:val="single" w:color="auto" w:sz="8" w:space="0"/>
              <w:right w:val="single" w:color="auto" w:sz="8" w:space="0"/>
            </w:tcBorders>
            <w:shd w:val="clear" w:color="auto" w:fill="FFFFFF"/>
            <w:vAlign w:val="top"/>
          </w:tcPr>
          <w:p>
            <w:pPr>
              <w:keepNext w:val="0"/>
              <w:keepLines w:val="0"/>
              <w:widowControl/>
              <w:suppressLineNumbers w:val="0"/>
              <w:adjustRightInd w:val="0"/>
              <w:snapToGrid w:val="0"/>
              <w:spacing w:before="0" w:beforeAutospacing="1" w:after="0" w:afterAutospacing="1" w:line="560" w:lineRule="exact"/>
              <w:ind w:left="0" w:right="0"/>
              <w:jc w:val="center"/>
            </w:pPr>
            <w:r>
              <w:rPr>
                <w:rFonts w:hint="default" w:ascii="仿宋_GB2312" w:hAnsi="宋体" w:eastAsia="仿宋_GB2312" w:cs="仿宋_GB2312"/>
                <w:kern w:val="2"/>
                <w:sz w:val="24"/>
                <w:szCs w:val="24"/>
                <w:lang w:val="en-US" w:eastAsia="zh-CN" w:bidi="ar"/>
              </w:rPr>
              <w:t>单位性质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0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djustRightInd w:val="0"/>
              <w:snapToGrid w:val="0"/>
              <w:spacing w:before="0" w:beforeAutospacing="1" w:after="0" w:afterAutospacing="1" w:line="560" w:lineRule="exact"/>
              <w:ind w:left="0" w:right="0"/>
              <w:jc w:val="center"/>
            </w:pPr>
            <w:r>
              <w:rPr>
                <w:rFonts w:hint="default" w:ascii="仿宋_GB2312" w:hAnsi="宋体" w:eastAsia="仿宋_GB2312" w:cs="仿宋_GB2312"/>
                <w:kern w:val="2"/>
                <w:sz w:val="24"/>
                <w:szCs w:val="24"/>
                <w:lang w:val="en-US" w:eastAsia="zh-CN" w:bidi="ar"/>
              </w:rPr>
              <w:t>1</w:t>
            </w:r>
          </w:p>
        </w:tc>
        <w:tc>
          <w:tcPr>
            <w:tcW w:w="360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adjustRightInd w:val="0"/>
              <w:snapToGrid w:val="0"/>
              <w:spacing w:before="0" w:beforeAutospacing="1" w:after="0" w:afterAutospacing="1" w:line="560" w:lineRule="exact"/>
              <w:ind w:left="0" w:right="0"/>
              <w:jc w:val="left"/>
            </w:pPr>
            <w:r>
              <w:rPr>
                <w:rFonts w:hint="default" w:ascii="仿宋_GB2312" w:hAnsi="仿宋" w:eastAsia="仿宋_GB2312" w:cs="仿宋"/>
                <w:kern w:val="2"/>
                <w:sz w:val="24"/>
                <w:szCs w:val="24"/>
                <w:lang w:val="en-US" w:eastAsia="zh-CN" w:bidi="ar"/>
              </w:rPr>
              <w:t>宿州市总工会</w:t>
            </w:r>
          </w:p>
        </w:tc>
        <w:tc>
          <w:tcPr>
            <w:tcW w:w="4500"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adjustRightInd w:val="0"/>
              <w:snapToGrid w:val="0"/>
              <w:spacing w:before="0" w:beforeAutospacing="1" w:after="0" w:afterAutospacing="1" w:line="560" w:lineRule="exact"/>
              <w:ind w:left="0" w:right="0"/>
              <w:jc w:val="left"/>
            </w:pPr>
            <w:r>
              <w:rPr>
                <w:rFonts w:hint="default" w:ascii="仿宋_GB2312" w:hAnsi="仿宋" w:eastAsia="仿宋_GB2312" w:cs="仿宋"/>
                <w:kern w:val="2"/>
                <w:sz w:val="24"/>
                <w:szCs w:val="24"/>
                <w:lang w:val="en-US" w:eastAsia="zh-CN" w:bidi="ar"/>
              </w:rPr>
              <w:t>参照公务员法管理的机关</w:t>
            </w:r>
          </w:p>
        </w:tc>
      </w:tr>
    </w:tbl>
    <w:p>
      <w:pPr>
        <w:pStyle w:val="2"/>
        <w:keepNext w:val="0"/>
        <w:keepLines w:val="0"/>
        <w:widowControl/>
        <w:suppressLineNumbers w:val="0"/>
        <w:adjustRightInd w:val="0"/>
        <w:snapToGrid w:val="0"/>
        <w:spacing w:before="0" w:beforeAutospacing="0" w:after="0" w:afterAutospacing="0" w:line="560" w:lineRule="exact"/>
        <w:ind w:left="0" w:right="0" w:firstLine="627" w:firstLineChars="196"/>
      </w:pPr>
      <w:r>
        <w:rPr>
          <w:rFonts w:hint="default" w:ascii="仿宋_GB2312" w:hAnsi="仿宋" w:eastAsia="仿宋_GB2312" w:cs="宋体"/>
          <w:kern w:val="0"/>
          <w:sz w:val="32"/>
          <w:szCs w:val="32"/>
        </w:rPr>
        <w:t xml:space="preserve"> </w:t>
      </w:r>
    </w:p>
    <w:p>
      <w:pPr>
        <w:pStyle w:val="2"/>
        <w:keepNext w:val="0"/>
        <w:keepLines w:val="0"/>
        <w:widowControl/>
        <w:suppressLineNumbers w:val="0"/>
        <w:adjustRightInd w:val="0"/>
        <w:snapToGrid w:val="0"/>
        <w:spacing w:before="0" w:beforeAutospacing="0" w:after="0" w:afterAutospacing="0" w:line="560" w:lineRule="exact"/>
        <w:ind w:left="0" w:right="0" w:firstLine="627" w:firstLineChars="196"/>
      </w:pPr>
      <w:r>
        <w:rPr>
          <w:rFonts w:hint="eastAsia" w:ascii="黑体" w:hAnsi="宋体" w:eastAsia="黑体" w:cs="黑体"/>
          <w:kern w:val="0"/>
          <w:sz w:val="32"/>
          <w:szCs w:val="32"/>
        </w:rPr>
        <w:t>三、</w:t>
      </w:r>
      <w:r>
        <w:rPr>
          <w:rFonts w:hint="eastAsia" w:ascii="黑体" w:hAnsi="宋体" w:eastAsia="黑体" w:cs="宋体"/>
          <w:kern w:val="0"/>
          <w:sz w:val="32"/>
          <w:szCs w:val="32"/>
        </w:rPr>
        <w:t>2019年度主要工作任务</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ascii="方正楷体简体" w:hAnsi="方正楷体简体" w:eastAsia="方正楷体简体" w:cs="方正楷体简体"/>
          <w:b/>
          <w:bCs/>
          <w:kern w:val="2"/>
          <w:sz w:val="32"/>
          <w:szCs w:val="32"/>
          <w:lang w:val="en-US" w:eastAsia="zh-CN" w:bidi="ar"/>
        </w:rPr>
        <w:t>1</w:t>
      </w:r>
      <w:r>
        <w:rPr>
          <w:rFonts w:hint="default" w:ascii="方正楷体简体" w:hAnsi="方正楷体简体" w:eastAsia="方正楷体简体" w:cs="方正楷体简体"/>
          <w:b/>
          <w:bCs/>
          <w:kern w:val="2"/>
          <w:sz w:val="32"/>
          <w:szCs w:val="32"/>
          <w:lang w:val="en-US" w:eastAsia="zh-CN" w:bidi="ar"/>
        </w:rPr>
        <w:t>、</w:t>
      </w:r>
      <w:r>
        <w:rPr>
          <w:rFonts w:hint="default" w:ascii="仿宋_GB2312" w:hAnsi="仿宋" w:eastAsia="仿宋_GB2312" w:cs="宋体"/>
          <w:b/>
          <w:bCs/>
          <w:kern w:val="0"/>
          <w:sz w:val="32"/>
          <w:szCs w:val="32"/>
          <w:lang w:val="en-US" w:eastAsia="zh-CN" w:bidi="ar"/>
        </w:rPr>
        <w:t>强基固本，推动市总工会党组织标准化建设全面提升。</w:t>
      </w:r>
      <w:r>
        <w:rPr>
          <w:rFonts w:hint="default" w:ascii="仿宋_GB2312" w:hAnsi="仿宋" w:eastAsia="仿宋_GB2312" w:cs="宋体"/>
          <w:kern w:val="0"/>
          <w:sz w:val="32"/>
          <w:szCs w:val="32"/>
          <w:lang w:val="en-US" w:eastAsia="zh-CN" w:bidi="ar"/>
        </w:rPr>
        <w:t>下一步，我将加强对党建工作的研究谋划，严格按照基层党组织标准化建设的要求，切实提高政治站位，强化责任担当，进一步加强规范机关支部和老干部支部两个支部规范化建设水平。规范民主评议党员工作，评议结果认真汇总并公示，建立个人整改清单，及时整理归档。做好“宿州云党建平台”应用工作，推进党建工作的信息化水平。不断丰富活动形式和载体，创新落实“党员活动日”制度。规范党组会议及中心组理论学习，确保党组中心组全年至少12次的学习目标和学习效果。规范“三会一课”制度落实，进一步严肃党内政治生活，严格落实双重组织生活制度，自身带头，要求班子同志过好双重组织生活。</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hint="default" w:ascii="仿宋_GB2312" w:hAnsi="仿宋" w:eastAsia="仿宋_GB2312" w:cs="宋体"/>
          <w:b/>
          <w:bCs/>
          <w:kern w:val="0"/>
          <w:sz w:val="32"/>
          <w:szCs w:val="32"/>
          <w:lang w:val="en-US" w:eastAsia="zh-CN" w:bidi="ar"/>
        </w:rPr>
        <w:t>2、创新实践，选树打造具有工会特色的党建工作品牌。</w:t>
      </w:r>
      <w:r>
        <w:rPr>
          <w:rFonts w:hint="default" w:ascii="仿宋_GB2312" w:hAnsi="仿宋" w:eastAsia="仿宋_GB2312" w:cs="宋体"/>
          <w:kern w:val="0"/>
          <w:sz w:val="32"/>
          <w:szCs w:val="32"/>
          <w:lang w:val="en-US" w:eastAsia="zh-CN" w:bidi="ar"/>
        </w:rPr>
        <w:t>结合工会特点，以新的思路、新的机制、新的方法，积极研究谋划有影响、具有长效品牌的党建活动项目，积极探索加强工会党的建设的有效途径，用心用力选树先进典型、总结有效经验、打造工作品牌，发挥示范引领作用，用品牌项目凝聚党员，以创新活动鼓舞党员，努力增强市总工会党建活力，形成鲜明工作特色，以点带面不断提升整体党建工作水平。</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hint="default" w:ascii="仿宋_GB2312" w:hAnsi="仿宋" w:eastAsia="仿宋_GB2312" w:cs="宋体"/>
          <w:b/>
          <w:bCs/>
          <w:kern w:val="0"/>
          <w:sz w:val="32"/>
          <w:szCs w:val="32"/>
          <w:lang w:val="en-US" w:eastAsia="zh-CN" w:bidi="ar"/>
        </w:rPr>
        <w:t>3、全面指导，强化党务工作培训，提升党建工作能力。</w:t>
      </w:r>
      <w:r>
        <w:rPr>
          <w:rFonts w:hint="default" w:ascii="仿宋_GB2312" w:hAnsi="仿宋" w:eastAsia="仿宋_GB2312" w:cs="宋体"/>
          <w:kern w:val="0"/>
          <w:sz w:val="32"/>
          <w:szCs w:val="32"/>
          <w:lang w:val="en-US" w:eastAsia="zh-CN" w:bidi="ar"/>
        </w:rPr>
        <w:t>坚持带头学习宣传贯彻习近平新时代中国特色社会主义思想，从严落实党建责任，认真履行党建主体责任和第一责任，推进班子同志认真履行“一岗双责”。 压实基层党建工作责任，充分发挥积极作用，开展好“不忘初心、牢记使命”主题教育。强化党务工作培训，加强对《中国共产党支部工作条例（试行）》《中国共产党党务公开条例（试行）》等条例法规的学习研究，自身带头学深学透，认真贯彻执行，切实提升党建工作能力。加强领导班子和党员队伍建设，增强党组织的战斗力，凝聚力。全力提升工会系统党建工作水平，努力打造工会系统党建工作品牌，彰显党建带工建的积极作用。</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hint="default" w:ascii="仿宋_GB2312" w:hAnsi="仿宋" w:eastAsia="仿宋_GB2312" w:cs="宋体"/>
          <w:b/>
          <w:bCs/>
          <w:kern w:val="0"/>
          <w:sz w:val="32"/>
          <w:szCs w:val="32"/>
          <w:lang w:val="en-US" w:eastAsia="zh-CN" w:bidi="ar"/>
        </w:rPr>
        <w:t>（1）强化思想引领工作。</w:t>
      </w:r>
      <w:r>
        <w:rPr>
          <w:rFonts w:hint="default" w:ascii="仿宋_GB2312" w:hAnsi="仿宋" w:eastAsia="仿宋_GB2312" w:cs="宋体"/>
          <w:kern w:val="0"/>
          <w:sz w:val="32"/>
          <w:szCs w:val="32"/>
          <w:lang w:val="en-US" w:eastAsia="zh-CN" w:bidi="ar"/>
        </w:rPr>
        <w:t>深化“中国梦·劳动美·宿州篇章”主题宣传教育活动，</w:t>
      </w:r>
      <w:bookmarkStart w:id="0" w:name="_GoBack"/>
      <w:bookmarkEnd w:id="0"/>
      <w:r>
        <w:rPr>
          <w:rFonts w:hint="default" w:ascii="仿宋_GB2312" w:hAnsi="仿宋" w:eastAsia="仿宋_GB2312" w:cs="宋体"/>
          <w:kern w:val="0"/>
          <w:sz w:val="32"/>
          <w:szCs w:val="32"/>
          <w:lang w:val="en-US" w:eastAsia="zh-CN" w:bidi="ar"/>
        </w:rPr>
        <w:t>开展庆“五一”庆“七一”职工健身展演、职工摄影展等丰富多彩文体活动。推动职工书屋建设提标扩面，拟新建市级职工书屋20家，拓展网上职工电子书屋建设。</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hint="default" w:ascii="仿宋_GB2312" w:hAnsi="仿宋" w:eastAsia="仿宋_GB2312" w:cs="宋体"/>
          <w:b/>
          <w:bCs/>
          <w:kern w:val="0"/>
          <w:sz w:val="32"/>
          <w:szCs w:val="32"/>
          <w:lang w:val="en-US" w:eastAsia="zh-CN" w:bidi="ar"/>
        </w:rPr>
        <w:t>（2）竭诚服务职工群众。</w:t>
      </w:r>
      <w:r>
        <w:rPr>
          <w:rFonts w:hint="default" w:ascii="仿宋_GB2312" w:hAnsi="仿宋" w:eastAsia="仿宋_GB2312" w:cs="宋体"/>
          <w:kern w:val="0"/>
          <w:sz w:val="32"/>
          <w:szCs w:val="32"/>
          <w:lang w:val="en-US" w:eastAsia="zh-CN" w:bidi="ar"/>
        </w:rPr>
        <w:t>一是做好困难职工解困脱困工作。推进 “互联网＋”工会普惠制服务。计划2019年投入普惠资金50万元，把6万张工会会员服务卡普惠制服务做优、做强、做精。完善网上工作建设，打造工会网上工作升级版。2019年职工互助保障计划实现保费230万，力争达到250万，同比增长10%，力争赔付率达到60%以上。</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hint="default" w:ascii="仿宋_GB2312" w:hAnsi="仿宋" w:eastAsia="仿宋_GB2312" w:cs="宋体"/>
          <w:b/>
          <w:bCs/>
          <w:kern w:val="0"/>
          <w:sz w:val="32"/>
          <w:szCs w:val="32"/>
          <w:lang w:val="en-US" w:eastAsia="zh-CN" w:bidi="ar"/>
        </w:rPr>
        <w:t>（3）聚焦中心服务大局。</w:t>
      </w:r>
      <w:r>
        <w:rPr>
          <w:rFonts w:hint="default" w:ascii="仿宋_GB2312" w:hAnsi="仿宋" w:eastAsia="仿宋_GB2312" w:cs="宋体"/>
          <w:kern w:val="0"/>
          <w:sz w:val="32"/>
          <w:szCs w:val="32"/>
          <w:lang w:val="en-US" w:eastAsia="zh-CN" w:bidi="ar"/>
        </w:rPr>
        <w:t>以 “当好主人翁、建功新时代”为主题，继续开展“坚决打赢脱贫攻坚战、争当十大工程先锋”劳动竞赛活动。组织职工投身三大攻坚战，开展“跟着劳模去扶贫”活动。强化劳模动态管理，加强劳模和工匠人才创新工作室创建，加强劳模教育培训。深入开展群众性经济技术创新活动。</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hint="default" w:ascii="仿宋_GB2312" w:hAnsi="仿宋" w:eastAsia="仿宋_GB2312" w:cs="宋体"/>
          <w:b/>
          <w:bCs/>
          <w:kern w:val="0"/>
          <w:sz w:val="32"/>
          <w:szCs w:val="32"/>
          <w:lang w:val="en-US" w:eastAsia="zh-CN" w:bidi="ar"/>
        </w:rPr>
        <w:t>（4）继续深化工会改革。</w:t>
      </w:r>
      <w:r>
        <w:rPr>
          <w:rFonts w:hint="default" w:ascii="仿宋_GB2312" w:hAnsi="仿宋" w:eastAsia="仿宋_GB2312" w:cs="宋体"/>
          <w:kern w:val="0"/>
          <w:sz w:val="32"/>
          <w:szCs w:val="32"/>
          <w:lang w:val="en-US" w:eastAsia="zh-CN" w:bidi="ar"/>
        </w:rPr>
        <w:t>扎实推进新时代产业工人队伍建设改革。选树模范职工之家、模范职工小家、非公企业工会示范点。大力推进“八大群体”入会工作。把快递员、送餐员、卡车司机等灵活就业群体吸引到工会组织中来，创新工会的组织体制、运行机制和活动方式。</w:t>
      </w:r>
    </w:p>
    <w:p>
      <w:pPr>
        <w:keepNext w:val="0"/>
        <w:keepLines w:val="0"/>
        <w:widowControl/>
        <w:suppressLineNumbers w:val="0"/>
        <w:spacing w:before="0" w:beforeAutospacing="1" w:after="0" w:afterAutospacing="1" w:line="560" w:lineRule="exact"/>
        <w:ind w:left="0" w:right="0" w:firstLine="643" w:firstLineChars="200"/>
        <w:jc w:val="left"/>
        <w:rPr>
          <w:rFonts w:hint="default" w:ascii="仿宋_GB2312" w:hAnsi="仿宋" w:eastAsia="仿宋_GB2312" w:cs="宋体"/>
          <w:kern w:val="0"/>
          <w:sz w:val="32"/>
          <w:szCs w:val="32"/>
          <w:lang w:val="en-US" w:eastAsia="zh-CN" w:bidi="ar"/>
        </w:rPr>
      </w:pPr>
      <w:r>
        <w:rPr>
          <w:rFonts w:hint="default" w:ascii="仿宋_GB2312" w:hAnsi="仿宋" w:eastAsia="仿宋_GB2312" w:cs="宋体"/>
          <w:b/>
          <w:bCs/>
          <w:kern w:val="0"/>
          <w:sz w:val="32"/>
          <w:szCs w:val="32"/>
          <w:lang w:val="en-US" w:eastAsia="zh-CN" w:bidi="ar"/>
        </w:rPr>
        <w:t>（5）加强工会自身建设。</w:t>
      </w:r>
      <w:r>
        <w:rPr>
          <w:rFonts w:hint="default" w:ascii="仿宋_GB2312" w:hAnsi="仿宋" w:eastAsia="仿宋_GB2312" w:cs="宋体"/>
          <w:kern w:val="0"/>
          <w:sz w:val="32"/>
          <w:szCs w:val="32"/>
          <w:lang w:val="en-US" w:eastAsia="zh-CN" w:bidi="ar"/>
        </w:rPr>
        <w:t>推进工会系统党的建设和党风廉政建设。认真履行党组管党治党政治责任。加强意识形态工作，认真开展“不忘初心、牢记使命”主题教育。深化开展工会经费审查工作。加强机关效能建设。高标准完成市委市政府交办工作任务。</w:t>
      </w:r>
    </w:p>
    <w:p>
      <w:pPr>
        <w:pStyle w:val="2"/>
        <w:keepNext w:val="0"/>
        <w:keepLines w:val="0"/>
        <w:widowControl/>
        <w:suppressLineNumbers w:val="0"/>
        <w:adjustRightInd w:val="0"/>
        <w:snapToGrid w:val="0"/>
        <w:spacing w:before="0" w:beforeAutospacing="0" w:after="0" w:afterAutospacing="0" w:line="560" w:lineRule="exact"/>
        <w:ind w:left="0" w:right="0"/>
        <w:jc w:val="center"/>
        <w:rPr>
          <w:rFonts w:hint="eastAsia" w:ascii="黑体" w:hAnsi="宋体" w:eastAsia="黑体" w:cs="宋体"/>
          <w:kern w:val="0"/>
          <w:sz w:val="36"/>
          <w:szCs w:val="36"/>
        </w:rPr>
      </w:pPr>
    </w:p>
    <w:p>
      <w:pPr>
        <w:pStyle w:val="2"/>
        <w:keepNext w:val="0"/>
        <w:keepLines w:val="0"/>
        <w:widowControl/>
        <w:suppressLineNumbers w:val="0"/>
        <w:adjustRightInd w:val="0"/>
        <w:snapToGrid w:val="0"/>
        <w:spacing w:before="0" w:beforeAutospacing="0" w:after="0" w:afterAutospacing="0" w:line="560" w:lineRule="exact"/>
        <w:ind w:left="0" w:right="0"/>
        <w:jc w:val="center"/>
        <w:rPr>
          <w:rFonts w:hint="eastAsia" w:ascii="黑体" w:hAnsi="宋体" w:eastAsia="黑体" w:cs="宋体"/>
          <w:kern w:val="0"/>
          <w:sz w:val="36"/>
          <w:szCs w:val="36"/>
        </w:rPr>
      </w:pPr>
    </w:p>
    <w:p>
      <w:pPr>
        <w:pStyle w:val="2"/>
        <w:keepNext w:val="0"/>
        <w:keepLines w:val="0"/>
        <w:widowControl/>
        <w:suppressLineNumbers w:val="0"/>
        <w:adjustRightInd w:val="0"/>
        <w:snapToGrid w:val="0"/>
        <w:spacing w:before="0" w:beforeAutospacing="0" w:after="0" w:afterAutospacing="0" w:line="560" w:lineRule="exact"/>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黑体"/>
          <w:kern w:val="0"/>
          <w:sz w:val="36"/>
          <w:szCs w:val="36"/>
        </w:rPr>
        <w:t>第二部分</w:t>
      </w:r>
      <w:r>
        <w:rPr>
          <w:rFonts w:hint="eastAsia" w:ascii="黑体" w:hAnsi="宋体" w:eastAsia="黑体" w:cs="宋体"/>
          <w:kern w:val="0"/>
          <w:sz w:val="36"/>
          <w:szCs w:val="36"/>
        </w:rPr>
        <w:t xml:space="preserve"> 2019年部门预算表</w:t>
      </w:r>
    </w:p>
    <w:tbl>
      <w:tblPr>
        <w:tblStyle w:val="3"/>
        <w:tblW w:w="10142" w:type="dxa"/>
        <w:tblInd w:w="-6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80"/>
        <w:gridCol w:w="762"/>
        <w:gridCol w:w="3050"/>
        <w:gridCol w:w="638"/>
        <w:gridCol w:w="950"/>
        <w:gridCol w:w="1350"/>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2" w:hRule="atLeast"/>
        </w:trPr>
        <w:tc>
          <w:tcPr>
            <w:tcW w:w="2280"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1</w:t>
            </w:r>
          </w:p>
        </w:tc>
        <w:tc>
          <w:tcPr>
            <w:tcW w:w="762"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050"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638"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950"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350"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112"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7" w:hRule="atLeast"/>
        </w:trPr>
        <w:tc>
          <w:tcPr>
            <w:tcW w:w="10142"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36"/>
                <w:szCs w:val="36"/>
                <w:lang w:val="en-US" w:eastAsia="zh-CN" w:bidi="ar"/>
              </w:rPr>
              <w:t>宿州市总工会</w:t>
            </w:r>
            <w:r>
              <w:rPr>
                <w:rFonts w:hint="default" w:ascii="华文中宋" w:hAnsi="华文中宋" w:eastAsia="华文中宋" w:cs="华文中宋"/>
                <w:b/>
                <w:color w:val="000000"/>
                <w:kern w:val="0"/>
                <w:sz w:val="36"/>
                <w:szCs w:val="36"/>
                <w:lang w:val="en-US" w:eastAsia="zh-CN" w:bidi="ar"/>
              </w:rPr>
              <w:t>2019年部门财政拨款收支预算总表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7" w:hRule="atLeast"/>
        </w:trPr>
        <w:tc>
          <w:tcPr>
            <w:tcW w:w="2280"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单位名称:工会</w:t>
            </w:r>
          </w:p>
        </w:tc>
        <w:tc>
          <w:tcPr>
            <w:tcW w:w="762"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3050"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638"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950" w:type="dxa"/>
            <w:tcBorders>
              <w:top w:val="nil"/>
              <w:left w:val="nil"/>
              <w:bottom w:val="single" w:color="000000" w:sz="4" w:space="0"/>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350"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c>
          <w:tcPr>
            <w:tcW w:w="1112"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7" w:hRule="atLeast"/>
        </w:trPr>
        <w:tc>
          <w:tcPr>
            <w:tcW w:w="30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1"/>
                <w:szCs w:val="21"/>
                <w:lang w:val="en-US" w:eastAsia="zh-CN" w:bidi="ar"/>
              </w:rPr>
              <w:t xml:space="preserve">收   入             </w:t>
            </w:r>
          </w:p>
        </w:tc>
        <w:tc>
          <w:tcPr>
            <w:tcW w:w="7100"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1"/>
                <w:szCs w:val="21"/>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4"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0"/>
                <w:szCs w:val="20"/>
                <w:lang w:val="en-US" w:eastAsia="zh-CN" w:bidi="ar"/>
              </w:rPr>
              <w:t>项目</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0"/>
                <w:szCs w:val="20"/>
                <w:lang w:val="en-US" w:eastAsia="zh-CN" w:bidi="ar"/>
              </w:rPr>
              <w:t>预算数</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0"/>
                <w:szCs w:val="20"/>
                <w:lang w:val="en-US" w:eastAsia="zh-CN" w:bidi="ar"/>
              </w:rPr>
              <w:t>项目</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0"/>
                <w:szCs w:val="20"/>
                <w:lang w:val="en-US" w:eastAsia="zh-CN" w:bidi="ar"/>
              </w:rPr>
              <w:t>合计</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5"/>
                <w:szCs w:val="15"/>
                <w:lang w:val="en-US" w:eastAsia="zh-CN" w:bidi="ar"/>
              </w:rPr>
              <w:t>一般公共预算财政拨款</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政府性基金预算财政拨款</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6"/>
                <w:szCs w:val="16"/>
                <w:lang w:val="en-US" w:eastAsia="zh-CN" w:bidi="ar"/>
              </w:rPr>
              <w:t>国有资本经营预算拨款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一、上年结转</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一、本年支出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348.59</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348.59</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（一）一般公共服务支出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208.17</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208.17</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（二）外交支出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二、本年收入</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（三）国防支出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（一）一般公共预算拨款</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348.59</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（四）公共安全支出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经常收入预算拨款</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348.59</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（五）教育支出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国库管理非税收入</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（六）科学技术支出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（二）政府性基金预算拨款</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（七）文化旅游体育与传媒支出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（三）国有资本经营预算拨款</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（八）社会保障和就业支出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122.68</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122.68</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（九）社会保险基金支出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（十）卫生健康支出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（十一）节能环保支出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（十二）城乡社区支出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（十三）农林水支出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（十四）交通运输支出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（十五）资源勘探信息等支出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（十六）商业服务业等支出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（十七）金融支出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（十八）援助其他地区支出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（十九）自然资源海洋气象等支出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（二十）住房保障支出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（二十一）粮油物资储备支出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（二十二）灾害防治及应急管理</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（二十三）预备费</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（二十四）国债还本付息支出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（二十五）其他支出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（二十六）转移性支出</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结转下年</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950" w:type="dxa"/>
            <w:tcBorders>
              <w:top w:val="single" w:color="000000" w:sz="4" w:space="0"/>
              <w:left w:val="nil"/>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atLeast"/>
        </w:trPr>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收入总计</w:t>
            </w:r>
          </w:p>
        </w:tc>
        <w:tc>
          <w:tcPr>
            <w:tcW w:w="7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b/>
                <w:color w:val="000000"/>
                <w:kern w:val="0"/>
                <w:sz w:val="18"/>
                <w:szCs w:val="18"/>
                <w:lang w:val="en-US" w:eastAsia="zh-CN" w:bidi="ar"/>
              </w:rPr>
              <w:t>348.59</w:t>
            </w:r>
          </w:p>
        </w:tc>
        <w:tc>
          <w:tcPr>
            <w:tcW w:w="30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支出总计</w:t>
            </w:r>
          </w:p>
        </w:tc>
        <w:tc>
          <w:tcPr>
            <w:tcW w:w="6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8"/>
                <w:szCs w:val="18"/>
                <w:lang w:val="en-US" w:eastAsia="zh-CN" w:bidi="ar"/>
              </w:rPr>
              <w:t>348.59</w:t>
            </w:r>
          </w:p>
        </w:tc>
        <w:tc>
          <w:tcPr>
            <w:tcW w:w="9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348.59</w:t>
            </w:r>
          </w:p>
        </w:tc>
        <w:tc>
          <w:tcPr>
            <w:tcW w:w="135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111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r>
    </w:tbl>
    <w:p>
      <w:pPr>
        <w:pStyle w:val="2"/>
        <w:keepNext w:val="0"/>
        <w:keepLines w:val="0"/>
        <w:widowControl/>
        <w:suppressLineNumbers w:val="0"/>
        <w:adjustRightInd w:val="0"/>
        <w:snapToGrid w:val="0"/>
        <w:spacing w:before="0" w:beforeAutospacing="0" w:after="0" w:afterAutospacing="0" w:line="360" w:lineRule="auto"/>
        <w:ind w:left="0" w:right="0"/>
        <w:jc w:val="both"/>
      </w:pPr>
    </w:p>
    <w:tbl>
      <w:tblPr>
        <w:tblStyle w:val="3"/>
        <w:tblW w:w="8895" w:type="dxa"/>
        <w:tblInd w:w="-4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02"/>
        <w:gridCol w:w="3264"/>
        <w:gridCol w:w="918"/>
        <w:gridCol w:w="1165"/>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1" w:hRule="atLeast"/>
        </w:trPr>
        <w:tc>
          <w:tcPr>
            <w:tcW w:w="2002"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2</w:t>
            </w:r>
          </w:p>
        </w:tc>
        <w:tc>
          <w:tcPr>
            <w:tcW w:w="3264"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918"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165"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546"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2" w:hRule="atLeast"/>
        </w:trPr>
        <w:tc>
          <w:tcPr>
            <w:tcW w:w="8895" w:type="dxa"/>
            <w:gridSpan w:val="5"/>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36"/>
                <w:szCs w:val="36"/>
                <w:lang w:val="en-US" w:eastAsia="zh-CN" w:bidi="ar"/>
              </w:rPr>
              <w:t>宿州市总工会</w:t>
            </w:r>
            <w:r>
              <w:rPr>
                <w:rFonts w:hint="default" w:ascii="华文中宋" w:hAnsi="华文中宋" w:eastAsia="华文中宋" w:cs="华文中宋"/>
                <w:b/>
                <w:color w:val="000000"/>
                <w:kern w:val="0"/>
                <w:sz w:val="36"/>
                <w:szCs w:val="36"/>
                <w:lang w:val="en-US" w:eastAsia="zh-CN" w:bidi="ar"/>
              </w:rPr>
              <w:t>2019年部门一般公共预算支出预算表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9" w:hRule="atLeast"/>
        </w:trPr>
        <w:tc>
          <w:tcPr>
            <w:tcW w:w="2002"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单位名称:工会</w:t>
            </w:r>
          </w:p>
        </w:tc>
        <w:tc>
          <w:tcPr>
            <w:tcW w:w="3264" w:type="dxa"/>
            <w:tcBorders>
              <w:top w:val="nil"/>
              <w:left w:val="nil"/>
              <w:bottom w:val="single" w:color="000000" w:sz="4" w:space="0"/>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918"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1165" w:type="dxa"/>
            <w:tcBorders>
              <w:top w:val="nil"/>
              <w:left w:val="nil"/>
              <w:bottom w:val="single" w:color="000000" w:sz="4" w:space="0"/>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1546"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5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功能分类科目</w:t>
            </w:r>
          </w:p>
        </w:tc>
        <w:tc>
          <w:tcPr>
            <w:tcW w:w="3629"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9"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科目编码</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科目名称</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合计</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基本支出</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合计</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348.59</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59.09</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一般公共服务支出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208.17</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20129</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群众团体事务</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208.17</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2012901</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行政运行</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2012999</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其他群众团体事务支出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社会保障和就业支出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122.68</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20805</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行政事业单位离退休</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2080505</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机关事业单位基本养老保险缴费支出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20899</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其他社会保障和就业支出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2089901</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其他社会保障和就业支出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卫生健康支出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21011</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行政事业单位医疗</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2101101</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行政单位医疗</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11.84</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11.84</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2101103</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公务员医疗补助</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3.82</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3.82</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221</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住房保障支出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22102</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住房改革支出</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trPr>
        <w:tc>
          <w:tcPr>
            <w:tcW w:w="2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2210202</w:t>
            </w:r>
          </w:p>
        </w:tc>
        <w:tc>
          <w:tcPr>
            <w:tcW w:w="3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提租补贴</w:t>
            </w:r>
          </w:p>
        </w:tc>
        <w:tc>
          <w:tcPr>
            <w:tcW w:w="9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1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5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bl>
    <w:p>
      <w:pPr>
        <w:pStyle w:val="2"/>
        <w:keepNext w:val="0"/>
        <w:keepLines w:val="0"/>
        <w:widowControl/>
        <w:suppressLineNumbers w:val="0"/>
        <w:adjustRightInd w:val="0"/>
        <w:snapToGrid w:val="0"/>
        <w:spacing w:before="0" w:beforeAutospacing="0" w:after="0" w:afterAutospacing="0" w:line="360" w:lineRule="auto"/>
        <w:ind w:left="0" w:right="0"/>
        <w:jc w:val="right"/>
      </w:pPr>
      <w:r>
        <w:rPr>
          <w:rFonts w:hint="eastAsia" w:ascii="宋体" w:hAnsi="宋体" w:eastAsia="宋体" w:cs="宋体"/>
          <w:kern w:val="0"/>
          <w:sz w:val="20"/>
          <w:szCs w:val="20"/>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right"/>
        <w:rPr>
          <w:rFonts w:hint="eastAsia" w:ascii="宋体" w:hAnsi="宋体" w:eastAsia="宋体" w:cs="宋体"/>
          <w:kern w:val="0"/>
          <w:sz w:val="20"/>
          <w:szCs w:val="20"/>
        </w:rPr>
      </w:pPr>
    </w:p>
    <w:p>
      <w:pPr>
        <w:pStyle w:val="2"/>
        <w:keepNext w:val="0"/>
        <w:keepLines w:val="0"/>
        <w:widowControl/>
        <w:suppressLineNumbers w:val="0"/>
        <w:adjustRightInd w:val="0"/>
        <w:snapToGrid w:val="0"/>
        <w:spacing w:before="0" w:beforeAutospacing="0" w:after="0" w:afterAutospacing="0" w:line="360" w:lineRule="auto"/>
        <w:ind w:left="0" w:right="0"/>
        <w:jc w:val="right"/>
      </w:pPr>
      <w:r>
        <w:rPr>
          <w:rFonts w:hint="eastAsia" w:ascii="宋体" w:hAnsi="宋体" w:eastAsia="宋体" w:cs="宋体"/>
          <w:kern w:val="0"/>
          <w:sz w:val="20"/>
          <w:szCs w:val="20"/>
        </w:rPr>
        <w:t xml:space="preserve"> </w:t>
      </w:r>
    </w:p>
    <w:tbl>
      <w:tblPr>
        <w:tblStyle w:val="3"/>
        <w:tblW w:w="9718"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147"/>
        <w:gridCol w:w="4443"/>
        <w:gridCol w:w="3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trPr>
        <w:tc>
          <w:tcPr>
            <w:tcW w:w="2147"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3</w:t>
            </w:r>
          </w:p>
        </w:tc>
        <w:tc>
          <w:tcPr>
            <w:tcW w:w="4443"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128"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9718" w:type="dxa"/>
            <w:gridSpan w:val="3"/>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textAlignment w:val="bottom"/>
            </w:pPr>
            <w:r>
              <w:rPr>
                <w:rFonts w:hint="eastAsia" w:ascii="宋体" w:hAnsi="宋体" w:eastAsia="宋体" w:cs="宋体"/>
                <w:b/>
                <w:color w:val="000000"/>
                <w:kern w:val="0"/>
                <w:sz w:val="36"/>
                <w:szCs w:val="36"/>
                <w:lang w:val="en-US" w:eastAsia="zh-CN" w:bidi="ar"/>
              </w:rPr>
              <w:t>宿州市总工会</w:t>
            </w:r>
            <w:r>
              <w:rPr>
                <w:rFonts w:hint="default" w:ascii="华文中宋" w:hAnsi="华文中宋" w:eastAsia="华文中宋" w:cs="华文中宋"/>
                <w:b/>
                <w:color w:val="000000"/>
                <w:kern w:val="0"/>
                <w:sz w:val="36"/>
                <w:szCs w:val="36"/>
                <w:lang w:val="en-US" w:eastAsia="zh-CN" w:bidi="ar"/>
              </w:rPr>
              <w:t>2019年部门一般公共预算基本支出预算表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9" w:hRule="atLeast"/>
        </w:trPr>
        <w:tc>
          <w:tcPr>
            <w:tcW w:w="2147"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color w:val="000000"/>
                <w:kern w:val="0"/>
                <w:sz w:val="22"/>
                <w:szCs w:val="22"/>
                <w:lang w:val="en-US" w:eastAsia="zh-CN" w:bidi="ar"/>
              </w:rPr>
              <w:t>单位名称:工会</w:t>
            </w:r>
          </w:p>
        </w:tc>
        <w:tc>
          <w:tcPr>
            <w:tcW w:w="4443" w:type="dxa"/>
            <w:tcBorders>
              <w:top w:val="nil"/>
              <w:left w:val="nil"/>
              <w:bottom w:val="single" w:color="000000" w:sz="4" w:space="0"/>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128"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4" w:hRule="atLeast"/>
        </w:trPr>
        <w:tc>
          <w:tcPr>
            <w:tcW w:w="6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经济分类科目</w:t>
            </w:r>
          </w:p>
        </w:tc>
        <w:tc>
          <w:tcPr>
            <w:tcW w:w="31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科目编码</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科目名称</w:t>
            </w:r>
          </w:p>
        </w:tc>
        <w:tc>
          <w:tcPr>
            <w:tcW w:w="3128"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合计</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59.09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301</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工资福利支出</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40.87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30102</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津贴补贴</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30108</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机关事业单位基本养老保险缴费</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30110</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城镇职工基本医疗保险缴费</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30111</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公务员医疗补助缴费</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30112</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其他社会保障缴费</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302</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商品和服务支出</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30229</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福利费</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30239</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其他交通费用</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303</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对个人和家庭的补助</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trPr>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30302</w:t>
            </w:r>
          </w:p>
        </w:tc>
        <w:tc>
          <w:tcPr>
            <w:tcW w:w="44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退休费</w:t>
            </w:r>
          </w:p>
        </w:tc>
        <w:tc>
          <w:tcPr>
            <w:tcW w:w="3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1.70</w:t>
            </w:r>
          </w:p>
        </w:tc>
      </w:tr>
    </w:tbl>
    <w:p>
      <w:pPr>
        <w:pStyle w:val="2"/>
        <w:keepNext w:val="0"/>
        <w:keepLines w:val="0"/>
        <w:widowControl/>
        <w:suppressLineNumbers w:val="0"/>
        <w:adjustRightInd w:val="0"/>
        <w:snapToGrid w:val="0"/>
        <w:spacing w:before="0" w:beforeAutospacing="0" w:after="0" w:afterAutospacing="0" w:line="360" w:lineRule="auto"/>
        <w:ind w:left="0" w:right="0"/>
        <w:jc w:val="right"/>
        <w:rPr>
          <w:rFonts w:hint="eastAsia" w:ascii="宋体" w:hAnsi="宋体" w:eastAsia="宋体" w:cs="宋体"/>
          <w:kern w:val="0"/>
          <w:sz w:val="20"/>
          <w:szCs w:val="20"/>
        </w:rPr>
      </w:pPr>
      <w:r>
        <w:rPr>
          <w:rFonts w:hint="eastAsia" w:ascii="宋体" w:hAnsi="宋体" w:eastAsia="宋体" w:cs="宋体"/>
          <w:kern w:val="0"/>
          <w:sz w:val="20"/>
          <w:szCs w:val="20"/>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right"/>
      </w:pPr>
      <w:r>
        <w:rPr>
          <w:rFonts w:hint="eastAsia" w:ascii="宋体" w:hAnsi="宋体" w:eastAsia="宋体" w:cs="宋体"/>
          <w:kern w:val="0"/>
          <w:sz w:val="20"/>
          <w:szCs w:val="20"/>
        </w:rPr>
        <w:t xml:space="preserve"> </w:t>
      </w:r>
    </w:p>
    <w:tbl>
      <w:tblPr>
        <w:tblStyle w:val="3"/>
        <w:tblW w:w="9437"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3"/>
        <w:gridCol w:w="2662"/>
        <w:gridCol w:w="1338"/>
        <w:gridCol w:w="931"/>
        <w:gridCol w:w="2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1" w:hRule="atLeast"/>
        </w:trPr>
        <w:tc>
          <w:tcPr>
            <w:tcW w:w="1863"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4</w:t>
            </w:r>
          </w:p>
        </w:tc>
        <w:tc>
          <w:tcPr>
            <w:tcW w:w="2662"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338"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931"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43"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rPr>
        <w:tc>
          <w:tcPr>
            <w:tcW w:w="9437" w:type="dxa"/>
            <w:gridSpan w:val="5"/>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36"/>
                <w:szCs w:val="36"/>
                <w:lang w:val="en-US" w:eastAsia="zh-CN" w:bidi="ar"/>
              </w:rPr>
              <w:t>宿州市总工会</w:t>
            </w:r>
            <w:r>
              <w:rPr>
                <w:rFonts w:hint="default" w:ascii="华文中宋" w:hAnsi="华文中宋" w:eastAsia="华文中宋" w:cs="华文中宋"/>
                <w:b/>
                <w:color w:val="000000"/>
                <w:kern w:val="0"/>
                <w:sz w:val="36"/>
                <w:szCs w:val="36"/>
                <w:lang w:val="en-US" w:eastAsia="zh-CN" w:bidi="ar"/>
              </w:rPr>
              <w:t>2019年部门政府性基金预算支出预算表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 w:hRule="atLeast"/>
        </w:trPr>
        <w:tc>
          <w:tcPr>
            <w:tcW w:w="1863"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单位名称:工会</w:t>
            </w:r>
          </w:p>
        </w:tc>
        <w:tc>
          <w:tcPr>
            <w:tcW w:w="2662"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1338"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931"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643"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 w:hRule="atLeast"/>
        </w:trPr>
        <w:tc>
          <w:tcPr>
            <w:tcW w:w="1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科目编码</w:t>
            </w:r>
          </w:p>
        </w:tc>
        <w:tc>
          <w:tcPr>
            <w:tcW w:w="266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科目名称</w:t>
            </w:r>
          </w:p>
        </w:tc>
        <w:tc>
          <w:tcPr>
            <w:tcW w:w="4912"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本年政府性基金财政拨款支出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8" w:hRule="atLeast"/>
        </w:trPr>
        <w:tc>
          <w:tcPr>
            <w:tcW w:w="1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2662"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3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合计</w:t>
            </w:r>
          </w:p>
        </w:tc>
        <w:tc>
          <w:tcPr>
            <w:tcW w:w="9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基本支出</w:t>
            </w:r>
          </w:p>
        </w:tc>
        <w:tc>
          <w:tcPr>
            <w:tcW w:w="26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 w:hRule="atLeast"/>
        </w:trPr>
        <w:tc>
          <w:tcPr>
            <w:tcW w:w="1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133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93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26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bl>
    <w:p>
      <w:pPr>
        <w:pStyle w:val="2"/>
        <w:keepNext w:val="0"/>
        <w:keepLines w:val="0"/>
        <w:widowControl/>
        <w:suppressLineNumbers w:val="0"/>
        <w:adjustRightInd w:val="0"/>
        <w:snapToGrid w:val="0"/>
        <w:spacing w:before="0" w:beforeAutospacing="0" w:after="0" w:afterAutospacing="0" w:line="360" w:lineRule="auto"/>
        <w:ind w:left="0" w:right="0"/>
        <w:jc w:val="both"/>
      </w:pPr>
      <w:r>
        <w:rPr>
          <w:rFonts w:hint="eastAsia" w:ascii="宋体" w:hAnsi="宋体" w:eastAsia="宋体" w:cs="宋体"/>
          <w:kern w:val="0"/>
          <w:sz w:val="24"/>
          <w:szCs w:val="24"/>
        </w:rPr>
        <w:t>宿州市总工会</w:t>
      </w:r>
      <w:r>
        <w:rPr>
          <w:rFonts w:hint="eastAsia" w:ascii="宋体" w:hAnsi="宋体" w:eastAsia="宋体" w:cs="宋体"/>
          <w:color w:val="000000"/>
          <w:kern w:val="0"/>
          <w:sz w:val="22"/>
          <w:szCs w:val="22"/>
        </w:rPr>
        <w:t>2019年</w:t>
      </w:r>
      <w:r>
        <w:rPr>
          <w:rFonts w:hint="eastAsia" w:ascii="宋体" w:hAnsi="宋体" w:eastAsia="宋体" w:cs="宋体"/>
          <w:kern w:val="0"/>
          <w:sz w:val="24"/>
          <w:szCs w:val="24"/>
        </w:rPr>
        <w:t>没有政府性基金预算拨款收入，也没有政府性基金预算支出，故本表无数据。</w:t>
      </w:r>
    </w:p>
    <w:p>
      <w:pPr>
        <w:pStyle w:val="2"/>
        <w:keepNext w:val="0"/>
        <w:keepLines w:val="0"/>
        <w:widowControl/>
        <w:suppressLineNumbers w:val="0"/>
        <w:adjustRightInd w:val="0"/>
        <w:snapToGrid w:val="0"/>
        <w:spacing w:before="0" w:beforeAutospacing="0" w:after="0" w:afterAutospacing="0" w:line="360" w:lineRule="auto"/>
        <w:ind w:left="0" w:right="0"/>
        <w:jc w:val="both"/>
      </w:pPr>
      <w:r>
        <w:rPr>
          <w:rFonts w:hint="eastAsia" w:ascii="宋体" w:hAnsi="宋体" w:eastAsia="宋体" w:cs="宋体"/>
          <w:kern w:val="0"/>
          <w:sz w:val="24"/>
          <w:szCs w:val="24"/>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both"/>
      </w:pPr>
      <w:r>
        <w:rPr>
          <w:rFonts w:hint="eastAsia" w:ascii="宋体" w:hAnsi="宋体" w:eastAsia="宋体" w:cs="宋体"/>
          <w:kern w:val="0"/>
          <w:sz w:val="24"/>
          <w:szCs w:val="24"/>
        </w:rPr>
        <w:t xml:space="preserve"> </w:t>
      </w:r>
    </w:p>
    <w:tbl>
      <w:tblPr>
        <w:tblStyle w:val="3"/>
        <w:tblW w:w="10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50"/>
        <w:gridCol w:w="2900"/>
        <w:gridCol w:w="2723"/>
        <w:gridCol w:w="1037"/>
        <w:gridCol w:w="1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jc w:val="center"/>
        </w:trPr>
        <w:tc>
          <w:tcPr>
            <w:tcW w:w="2050" w:type="dxa"/>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jc w:val="left"/>
              <w:textAlignment w:val="bottom"/>
            </w:pPr>
            <w:r>
              <w:rPr>
                <w:rFonts w:hint="eastAsia" w:ascii="宋体" w:hAnsi="宋体" w:eastAsia="宋体" w:cs="宋体"/>
                <w:caps w:val="0"/>
                <w:spacing w:val="0"/>
                <w:kern w:val="0"/>
                <w:sz w:val="21"/>
                <w:szCs w:val="21"/>
                <w:lang w:val="en-US" w:eastAsia="zh-CN" w:bidi="ar"/>
              </w:rPr>
              <w:t>部门公开表</w:t>
            </w:r>
            <w:r>
              <w:rPr>
                <w:rFonts w:hint="default" w:ascii="Times New Roman" w:hAnsi="Times New Roman" w:eastAsia="宋体" w:cs="Times New Roman"/>
                <w:caps w:val="0"/>
                <w:spacing w:val="0"/>
                <w:kern w:val="0"/>
                <w:sz w:val="21"/>
                <w:szCs w:val="21"/>
                <w:lang w:val="en-US" w:eastAsia="zh-CN" w:bidi="ar"/>
              </w:rPr>
              <w:t>5</w:t>
            </w:r>
          </w:p>
        </w:tc>
        <w:tc>
          <w:tcPr>
            <w:tcW w:w="2900" w:type="dxa"/>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2"/>
                <w:szCs w:val="22"/>
                <w:lang w:val="en-US" w:eastAsia="zh-CN" w:bidi="ar"/>
              </w:rPr>
              <w:t> </w:t>
            </w:r>
          </w:p>
        </w:tc>
        <w:tc>
          <w:tcPr>
            <w:tcW w:w="2723" w:type="dxa"/>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2"/>
                <w:szCs w:val="22"/>
                <w:lang w:val="en-US" w:eastAsia="zh-CN" w:bidi="ar"/>
              </w:rPr>
              <w:t> </w:t>
            </w:r>
          </w:p>
        </w:tc>
        <w:tc>
          <w:tcPr>
            <w:tcW w:w="1037" w:type="dxa"/>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2"/>
                <w:szCs w:val="22"/>
                <w:lang w:val="en-US" w:eastAsia="zh-CN" w:bidi="ar"/>
              </w:rPr>
              <w:t> </w:t>
            </w:r>
          </w:p>
        </w:tc>
        <w:tc>
          <w:tcPr>
            <w:tcW w:w="1690" w:type="dxa"/>
            <w:tcBorders>
              <w:top w:val="nil"/>
              <w:left w:val="nil"/>
              <w:bottom w:val="nil"/>
              <w:right w:val="nil"/>
            </w:tcBorders>
            <w:shd w:val="clear" w:color="auto" w:fill="FFFFFF"/>
            <w:vAlign w:val="bottom"/>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10400" w:type="dxa"/>
            <w:gridSpan w:val="5"/>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b/>
                <w:caps w:val="0"/>
                <w:color w:val="000000"/>
                <w:spacing w:val="0"/>
                <w:kern w:val="0"/>
                <w:sz w:val="36"/>
                <w:szCs w:val="36"/>
                <w:lang w:val="en-US" w:eastAsia="zh-CN" w:bidi="ar"/>
              </w:rPr>
              <w:t>宿州市总工会</w:t>
            </w:r>
            <w:r>
              <w:rPr>
                <w:rFonts w:hint="default" w:ascii="华文中宋" w:hAnsi="华文中宋" w:eastAsia="华文中宋" w:cs="华文中宋"/>
                <w:b/>
                <w:caps w:val="0"/>
                <w:color w:val="000000"/>
                <w:spacing w:val="0"/>
                <w:kern w:val="0"/>
                <w:sz w:val="36"/>
                <w:szCs w:val="36"/>
                <w:lang w:val="en-US" w:eastAsia="zh-CN" w:bidi="ar"/>
              </w:rPr>
              <w:t>2019年部门国有资本经营收支预算表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205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pPr>
            <w:r>
              <w:rPr>
                <w:rFonts w:hint="eastAsia" w:ascii="宋体" w:hAnsi="宋体" w:eastAsia="宋体" w:cs="宋体"/>
                <w:caps w:val="0"/>
                <w:color w:val="000000"/>
                <w:spacing w:val="0"/>
                <w:kern w:val="0"/>
                <w:sz w:val="18"/>
                <w:szCs w:val="18"/>
                <w:lang w:val="en-US" w:eastAsia="zh-CN" w:bidi="ar"/>
              </w:rPr>
              <w:t>单位名称:工会</w:t>
            </w:r>
          </w:p>
        </w:tc>
        <w:tc>
          <w:tcPr>
            <w:tcW w:w="290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0"/>
                <w:szCs w:val="20"/>
                <w:lang w:val="en-US" w:eastAsia="zh-CN" w:bidi="ar"/>
              </w:rPr>
              <w:t> </w:t>
            </w:r>
          </w:p>
        </w:tc>
        <w:tc>
          <w:tcPr>
            <w:tcW w:w="2723"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0"/>
                <w:szCs w:val="20"/>
                <w:lang w:val="en-US" w:eastAsia="zh-CN" w:bidi="ar"/>
              </w:rPr>
              <w:t> </w:t>
            </w:r>
          </w:p>
        </w:tc>
        <w:tc>
          <w:tcPr>
            <w:tcW w:w="1037" w:type="dxa"/>
            <w:tcBorders>
              <w:top w:val="nil"/>
              <w:left w:val="nil"/>
              <w:bottom w:val="single" w:color="000000" w:sz="4" w:space="0"/>
              <w:right w:val="nil"/>
            </w:tcBorders>
            <w:shd w:val="clear" w:color="auto" w:fill="FFFFFF"/>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0"/>
                <w:szCs w:val="20"/>
                <w:lang w:val="en-US" w:eastAsia="zh-CN" w:bidi="ar"/>
              </w:rPr>
              <w:t> </w:t>
            </w:r>
          </w:p>
        </w:tc>
        <w:tc>
          <w:tcPr>
            <w:tcW w:w="1690" w:type="dxa"/>
            <w:tcBorders>
              <w:top w:val="nil"/>
              <w:left w:val="nil"/>
              <w:bottom w:val="single" w:color="000000" w:sz="4" w:space="0"/>
              <w:right w:val="nil"/>
            </w:tcBorders>
            <w:shd w:val="clear" w:color="auto" w:fill="FFFFFF"/>
            <w:vAlign w:val="center"/>
          </w:tcPr>
          <w:p>
            <w:pPr>
              <w:keepNext w:val="0"/>
              <w:keepLines w:val="0"/>
              <w:widowControl/>
              <w:suppressLineNumbers w:val="0"/>
              <w:spacing w:before="0" w:beforeAutospacing="0" w:after="0" w:afterAutospacing="0"/>
              <w:ind w:left="0" w:right="0"/>
              <w:jc w:val="right"/>
              <w:textAlignment w:val="center"/>
            </w:pPr>
            <w:r>
              <w:rPr>
                <w:rFonts w:hint="eastAsia" w:ascii="宋体" w:hAnsi="宋体" w:eastAsia="宋体" w:cs="宋体"/>
                <w:caps w:val="0"/>
                <w:color w:val="000000"/>
                <w:spacing w:val="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205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b/>
                <w:caps w:val="0"/>
                <w:color w:val="000000"/>
                <w:spacing w:val="0"/>
                <w:kern w:val="0"/>
                <w:sz w:val="22"/>
                <w:szCs w:val="22"/>
                <w:lang w:val="en-US" w:eastAsia="zh-CN" w:bidi="ar"/>
              </w:rPr>
              <w:t>科目编码</w:t>
            </w:r>
          </w:p>
        </w:tc>
        <w:tc>
          <w:tcPr>
            <w:tcW w:w="2900"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b/>
                <w:caps w:val="0"/>
                <w:color w:val="000000"/>
                <w:spacing w:val="0"/>
                <w:kern w:val="0"/>
                <w:sz w:val="22"/>
                <w:szCs w:val="22"/>
                <w:lang w:val="en-US" w:eastAsia="zh-CN" w:bidi="ar"/>
              </w:rPr>
              <w:t>科目名称</w:t>
            </w:r>
          </w:p>
        </w:tc>
        <w:tc>
          <w:tcPr>
            <w:tcW w:w="5450" w:type="dxa"/>
            <w:gridSpan w:val="3"/>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b/>
                <w:caps w:val="0"/>
                <w:color w:val="000000"/>
                <w:spacing w:val="0"/>
                <w:kern w:val="0"/>
                <w:sz w:val="22"/>
                <w:szCs w:val="22"/>
                <w:lang w:val="en-US" w:eastAsia="zh-CN" w:bidi="ar"/>
              </w:rPr>
              <w:t>国有资本经营预算财政拨款支出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jc w:val="center"/>
        </w:trPr>
        <w:tc>
          <w:tcPr>
            <w:tcW w:w="205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宋体"/>
                <w:sz w:val="24"/>
                <w:szCs w:val="24"/>
              </w:rPr>
            </w:pPr>
          </w:p>
        </w:tc>
        <w:tc>
          <w:tcPr>
            <w:tcW w:w="2900"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宋体"/>
                <w:sz w:val="24"/>
                <w:szCs w:val="24"/>
              </w:rPr>
            </w:pPr>
          </w:p>
        </w:tc>
        <w:tc>
          <w:tcPr>
            <w:tcW w:w="272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b/>
                <w:caps w:val="0"/>
                <w:color w:val="000000"/>
                <w:spacing w:val="0"/>
                <w:kern w:val="0"/>
                <w:sz w:val="22"/>
                <w:szCs w:val="22"/>
                <w:lang w:val="en-US" w:eastAsia="zh-CN" w:bidi="ar"/>
              </w:rPr>
              <w:t>合计</w:t>
            </w:r>
          </w:p>
        </w:tc>
        <w:tc>
          <w:tcPr>
            <w:tcW w:w="1037"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b/>
                <w:caps w:val="0"/>
                <w:color w:val="000000"/>
                <w:spacing w:val="0"/>
                <w:kern w:val="0"/>
                <w:sz w:val="22"/>
                <w:szCs w:val="22"/>
                <w:lang w:val="en-US" w:eastAsia="zh-CN" w:bidi="ar"/>
              </w:rPr>
              <w:t>基本支出</w:t>
            </w:r>
          </w:p>
        </w:tc>
        <w:tc>
          <w:tcPr>
            <w:tcW w:w="169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pPr>
            <w:r>
              <w:rPr>
                <w:rFonts w:hint="eastAsia" w:ascii="宋体" w:hAnsi="宋体" w:eastAsia="宋体" w:cs="宋体"/>
                <w:b/>
                <w:caps w:val="0"/>
                <w:color w:val="000000"/>
                <w:spacing w:val="0"/>
                <w:kern w:val="0"/>
                <w:sz w:val="22"/>
                <w:szCs w:val="22"/>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jc w:val="center"/>
        </w:trPr>
        <w:tc>
          <w:tcPr>
            <w:tcW w:w="205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22"/>
                <w:szCs w:val="22"/>
                <w:lang w:val="en-US" w:eastAsia="zh-CN" w:bidi="ar"/>
              </w:rPr>
              <w:t> </w:t>
            </w:r>
          </w:p>
        </w:tc>
        <w:tc>
          <w:tcPr>
            <w:tcW w:w="29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aps w:val="0"/>
                <w:color w:val="000000"/>
                <w:spacing w:val="0"/>
                <w:kern w:val="0"/>
                <w:sz w:val="18"/>
                <w:szCs w:val="18"/>
                <w:lang w:val="en-US" w:eastAsia="zh-CN" w:bidi="ar"/>
              </w:rPr>
              <w:t> </w:t>
            </w:r>
          </w:p>
        </w:tc>
        <w:tc>
          <w:tcPr>
            <w:tcW w:w="272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pPr>
            <w:r>
              <w:rPr>
                <w:rFonts w:hint="eastAsia" w:ascii="宋体" w:hAnsi="宋体" w:eastAsia="宋体" w:cs="宋体"/>
                <w:caps w:val="0"/>
                <w:color w:val="000000"/>
                <w:spacing w:val="0"/>
                <w:kern w:val="0"/>
                <w:sz w:val="18"/>
                <w:szCs w:val="18"/>
                <w:lang w:val="en-US" w:eastAsia="zh-CN" w:bidi="ar"/>
              </w:rPr>
              <w:t> </w:t>
            </w:r>
          </w:p>
        </w:tc>
        <w:tc>
          <w:tcPr>
            <w:tcW w:w="103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pPr>
            <w:r>
              <w:rPr>
                <w:rFonts w:hint="eastAsia" w:ascii="宋体" w:hAnsi="宋体" w:eastAsia="宋体" w:cs="宋体"/>
                <w:caps w:val="0"/>
                <w:color w:val="000000"/>
                <w:spacing w:val="0"/>
                <w:kern w:val="0"/>
                <w:sz w:val="18"/>
                <w:szCs w:val="18"/>
                <w:lang w:val="en-US" w:eastAsia="zh-CN" w:bidi="ar"/>
              </w:rPr>
              <w:t> </w:t>
            </w:r>
          </w:p>
        </w:tc>
        <w:tc>
          <w:tcPr>
            <w:tcW w:w="169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pPr>
            <w:r>
              <w:rPr>
                <w:rFonts w:hint="eastAsia" w:ascii="宋体" w:hAnsi="宋体" w:eastAsia="宋体" w:cs="宋体"/>
                <w:caps w:val="0"/>
                <w:color w:val="000000"/>
                <w:spacing w:val="0"/>
                <w:kern w:val="0"/>
                <w:sz w:val="18"/>
                <w:szCs w:val="18"/>
                <w:lang w:val="en-US" w:eastAsia="zh-CN" w:bidi="ar"/>
              </w:rPr>
              <w:t> </w:t>
            </w:r>
          </w:p>
        </w:tc>
      </w:tr>
    </w:tbl>
    <w:p>
      <w:pPr>
        <w:pStyle w:val="2"/>
        <w:keepNext w:val="0"/>
        <w:keepLines w:val="0"/>
        <w:widowControl/>
        <w:suppressLineNumbers w:val="0"/>
        <w:shd w:val="clear" w:fill="FFFFFF"/>
        <w:spacing w:before="0" w:beforeAutospacing="0" w:after="0" w:afterAutospacing="0" w:line="360" w:lineRule="atLeast"/>
        <w:ind w:right="0"/>
        <w:jc w:val="left"/>
      </w:pPr>
      <w:r>
        <w:rPr>
          <w:rFonts w:hint="eastAsia" w:ascii="宋体" w:hAnsi="宋体" w:eastAsia="宋体" w:cs="宋体"/>
          <w:i w:val="0"/>
          <w:caps w:val="0"/>
          <w:color w:val="333333"/>
          <w:spacing w:val="0"/>
          <w:kern w:val="0"/>
          <w:sz w:val="24"/>
          <w:szCs w:val="24"/>
          <w:shd w:val="clear" w:fill="FFFFFF"/>
        </w:rPr>
        <w:t>宿州市总工会</w:t>
      </w:r>
      <w:r>
        <w:rPr>
          <w:rFonts w:hint="eastAsia" w:ascii="宋体" w:hAnsi="宋体" w:eastAsia="宋体" w:cs="宋体"/>
          <w:i w:val="0"/>
          <w:caps w:val="0"/>
          <w:color w:val="000000"/>
          <w:spacing w:val="0"/>
          <w:kern w:val="0"/>
          <w:sz w:val="22"/>
          <w:szCs w:val="22"/>
          <w:shd w:val="clear" w:fill="FFFFFF"/>
        </w:rPr>
        <w:t>2019年</w:t>
      </w:r>
      <w:r>
        <w:rPr>
          <w:rFonts w:hint="eastAsia" w:ascii="宋体" w:hAnsi="宋体" w:eastAsia="宋体" w:cs="宋体"/>
          <w:i w:val="0"/>
          <w:caps w:val="0"/>
          <w:color w:val="333333"/>
          <w:spacing w:val="0"/>
          <w:kern w:val="0"/>
          <w:sz w:val="24"/>
          <w:szCs w:val="24"/>
          <w:shd w:val="clear" w:fill="FFFFFF"/>
        </w:rPr>
        <w:t>没有国有资本经营预算拨款收入，也没有国有资本经营预算支出，故本表无数据。</w:t>
      </w:r>
    </w:p>
    <w:p>
      <w:pPr>
        <w:pStyle w:val="2"/>
        <w:keepNext w:val="0"/>
        <w:keepLines w:val="0"/>
        <w:widowControl/>
        <w:suppressLineNumbers w:val="0"/>
        <w:adjustRightInd w:val="0"/>
        <w:snapToGrid w:val="0"/>
        <w:spacing w:before="0" w:beforeAutospacing="0" w:after="0" w:afterAutospacing="0" w:line="360" w:lineRule="auto"/>
        <w:ind w:left="0" w:right="0"/>
      </w:pPr>
    </w:p>
    <w:p>
      <w:pPr>
        <w:pStyle w:val="2"/>
        <w:keepNext w:val="0"/>
        <w:keepLines w:val="0"/>
        <w:widowControl/>
        <w:suppressLineNumbers w:val="0"/>
        <w:adjustRightInd w:val="0"/>
        <w:snapToGrid w:val="0"/>
        <w:spacing w:before="0" w:beforeAutospacing="0" w:after="0" w:afterAutospacing="0" w:line="360" w:lineRule="auto"/>
        <w:ind w:left="0" w:right="0"/>
      </w:pPr>
    </w:p>
    <w:p>
      <w:pPr>
        <w:pStyle w:val="2"/>
        <w:keepNext w:val="0"/>
        <w:keepLines w:val="0"/>
        <w:widowControl/>
        <w:suppressLineNumbers w:val="0"/>
        <w:adjustRightInd w:val="0"/>
        <w:snapToGrid w:val="0"/>
        <w:spacing w:before="0" w:beforeAutospacing="0" w:after="0" w:afterAutospacing="0" w:line="360" w:lineRule="auto"/>
        <w:ind w:left="0" w:right="0"/>
      </w:pPr>
    </w:p>
    <w:tbl>
      <w:tblPr>
        <w:tblStyle w:val="3"/>
        <w:tblW w:w="0" w:type="auto"/>
        <w:tblInd w:w="-930" w:type="dxa"/>
        <w:tblLayout w:type="fixed"/>
        <w:tblCellMar>
          <w:top w:w="15" w:type="dxa"/>
          <w:left w:w="15" w:type="dxa"/>
          <w:bottom w:w="15" w:type="dxa"/>
          <w:right w:w="15" w:type="dxa"/>
        </w:tblCellMar>
      </w:tblPr>
      <w:tblGrid>
        <w:gridCol w:w="3917"/>
        <w:gridCol w:w="1275"/>
        <w:gridCol w:w="2910"/>
        <w:gridCol w:w="2286"/>
      </w:tblGrid>
      <w:tr>
        <w:tblPrEx>
          <w:tblCellMar>
            <w:top w:w="15" w:type="dxa"/>
            <w:left w:w="15" w:type="dxa"/>
            <w:bottom w:w="15" w:type="dxa"/>
            <w:right w:w="15" w:type="dxa"/>
          </w:tblCellMar>
        </w:tblPrEx>
        <w:trPr>
          <w:trHeight w:val="286" w:hRule="atLeast"/>
        </w:trPr>
        <w:tc>
          <w:tcPr>
            <w:tcW w:w="3917" w:type="dxa"/>
            <w:noWrap w:val="0"/>
            <w:vAlign w:val="center"/>
          </w:tcPr>
          <w:p>
            <w:pPr>
              <w:widowControl/>
              <w:jc w:val="left"/>
              <w:textAlignment w:val="center"/>
              <w:rPr>
                <w:rFonts w:hint="eastAsia" w:ascii="宋体" w:hAnsi="宋体" w:cs="宋体"/>
                <w:color w:val="000000"/>
                <w:sz w:val="20"/>
                <w:szCs w:val="20"/>
              </w:rPr>
            </w:pPr>
            <w:r>
              <w:rPr>
                <w:rFonts w:hint="eastAsia"/>
              </w:rPr>
              <w:t>部门公开表6</w:t>
            </w:r>
          </w:p>
        </w:tc>
        <w:tc>
          <w:tcPr>
            <w:tcW w:w="1275" w:type="dxa"/>
            <w:noWrap w:val="0"/>
            <w:vAlign w:val="bottom"/>
          </w:tcPr>
          <w:p>
            <w:pPr>
              <w:rPr>
                <w:rFonts w:hint="eastAsia" w:ascii="宋体" w:hAnsi="宋体" w:cs="宋体"/>
                <w:color w:val="000000"/>
                <w:sz w:val="22"/>
                <w:szCs w:val="22"/>
              </w:rPr>
            </w:pPr>
          </w:p>
        </w:tc>
        <w:tc>
          <w:tcPr>
            <w:tcW w:w="2910" w:type="dxa"/>
            <w:noWrap w:val="0"/>
            <w:vAlign w:val="bottom"/>
          </w:tcPr>
          <w:p>
            <w:pPr>
              <w:rPr>
                <w:rFonts w:hint="eastAsia" w:ascii="宋体" w:hAnsi="宋体" w:cs="宋体"/>
                <w:color w:val="000000"/>
                <w:sz w:val="22"/>
                <w:szCs w:val="22"/>
              </w:rPr>
            </w:pPr>
          </w:p>
        </w:tc>
        <w:tc>
          <w:tcPr>
            <w:tcW w:w="2286" w:type="dxa"/>
            <w:noWrap w:val="0"/>
            <w:vAlign w:val="bottom"/>
          </w:tcPr>
          <w:p>
            <w:pPr>
              <w:rPr>
                <w:rFonts w:hint="eastAsia" w:ascii="宋体" w:hAnsi="宋体" w:cs="宋体"/>
                <w:color w:val="000000"/>
                <w:sz w:val="22"/>
                <w:szCs w:val="22"/>
              </w:rPr>
            </w:pPr>
          </w:p>
        </w:tc>
      </w:tr>
      <w:tr>
        <w:tblPrEx>
          <w:tblCellMar>
            <w:top w:w="15" w:type="dxa"/>
            <w:left w:w="15" w:type="dxa"/>
            <w:bottom w:w="15" w:type="dxa"/>
            <w:right w:w="15" w:type="dxa"/>
          </w:tblCellMar>
        </w:tblPrEx>
        <w:trPr>
          <w:trHeight w:val="570" w:hRule="atLeast"/>
        </w:trPr>
        <w:tc>
          <w:tcPr>
            <w:tcW w:w="10388" w:type="dxa"/>
            <w:gridSpan w:val="4"/>
            <w:noWrap w:val="0"/>
            <w:vAlign w:val="center"/>
          </w:tcPr>
          <w:p>
            <w:pPr>
              <w:jc w:val="center"/>
              <w:rPr>
                <w:rFonts w:hint="eastAsia" w:ascii="宋体" w:hAnsi="宋体" w:cs="宋体"/>
                <w:b/>
                <w:color w:val="000000"/>
                <w:sz w:val="20"/>
                <w:szCs w:val="20"/>
              </w:rPr>
            </w:pPr>
            <w:r>
              <w:rPr>
                <w:rFonts w:hint="eastAsia" w:ascii="宋体" w:hAnsi="宋体" w:cs="宋体"/>
                <w:b/>
                <w:color w:val="000000"/>
                <w:kern w:val="0"/>
                <w:sz w:val="36"/>
                <w:szCs w:val="36"/>
                <w:lang w:bidi="ar"/>
              </w:rPr>
              <w:t>宿州市总工会2019年部门收支预算总表</w:t>
            </w:r>
          </w:p>
        </w:tc>
      </w:tr>
      <w:tr>
        <w:tblPrEx>
          <w:tblCellMar>
            <w:top w:w="15" w:type="dxa"/>
            <w:left w:w="15" w:type="dxa"/>
            <w:bottom w:w="15" w:type="dxa"/>
            <w:right w:w="15" w:type="dxa"/>
          </w:tblCellMar>
        </w:tblPrEx>
        <w:trPr>
          <w:trHeight w:val="301" w:hRule="atLeast"/>
        </w:trPr>
        <w:tc>
          <w:tcPr>
            <w:tcW w:w="3917" w:type="dxa"/>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单位名称:工会</w:t>
            </w:r>
          </w:p>
        </w:tc>
        <w:tc>
          <w:tcPr>
            <w:tcW w:w="1275" w:type="dxa"/>
            <w:noWrap w:val="0"/>
            <w:vAlign w:val="center"/>
          </w:tcPr>
          <w:p>
            <w:pPr>
              <w:rPr>
                <w:rFonts w:hint="eastAsia" w:ascii="宋体" w:hAnsi="宋体" w:cs="宋体"/>
                <w:color w:val="000000"/>
                <w:sz w:val="20"/>
                <w:szCs w:val="20"/>
              </w:rPr>
            </w:pPr>
          </w:p>
        </w:tc>
        <w:tc>
          <w:tcPr>
            <w:tcW w:w="2910" w:type="dxa"/>
            <w:noWrap w:val="0"/>
            <w:vAlign w:val="center"/>
          </w:tcPr>
          <w:p>
            <w:pPr>
              <w:rPr>
                <w:rFonts w:hint="eastAsia" w:ascii="宋体" w:hAnsi="宋体" w:cs="宋体"/>
                <w:color w:val="000000"/>
                <w:sz w:val="20"/>
                <w:szCs w:val="20"/>
              </w:rPr>
            </w:pPr>
          </w:p>
        </w:tc>
        <w:tc>
          <w:tcPr>
            <w:tcW w:w="2286" w:type="dxa"/>
            <w:noWrap w:val="0"/>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收         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收入项目</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预算数</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支出功能分类科目</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预算数</w:t>
            </w: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一、一般公共预算拨款收入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348.59</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一、一般公共服务支出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208.17</w:t>
            </w: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二、政府性基金预算拨款收入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二、外交支出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三、纳入专户管理政府非税收入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三、国防支出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四、其他收入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四、公共安全支出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事业收入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五、教育支出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经营收入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六、科学技术支出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上级补助收入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七、文化旅游体育与传媒支出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附属单位上缴收入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八、社会保障与就业支出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122.68</w:t>
            </w: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 xml:space="preserve">     其他</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九、社会保险基金支出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五、国有资本经营预算拨款收入</w:t>
            </w: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十、卫生健康支出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15.66</w:t>
            </w: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十一、节能环保支出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十二、城乡社区支出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十三、农林水支出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十四、交通运输支出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十五、资源勘探信息等支出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十六、商业服务业等支出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十七、金融支出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十八、援助其他地区支出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十九、自然资源海洋气象等支出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二十、住房保障支出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2.08</w:t>
            </w: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二十一、粮油物资储备支出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二十二、灾害防治及应急管理</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二十二、预备费</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bottom"/>
          </w:tcPr>
          <w:p>
            <w:pPr>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二十三、国债还本付息支出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二十四、其他支出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二十五、转移性支出</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本 年 收 入 合 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348.59</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本  年  支  出  合  计</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348.59</w:t>
            </w: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上年结余收入</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结转下年</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cs="宋体"/>
                <w:color w:val="000000"/>
                <w:sz w:val="16"/>
                <w:szCs w:val="16"/>
              </w:rPr>
            </w:pPr>
          </w:p>
        </w:tc>
      </w:tr>
      <w:tr>
        <w:tblPrEx>
          <w:tblCellMar>
            <w:top w:w="15" w:type="dxa"/>
            <w:left w:w="15" w:type="dxa"/>
            <w:bottom w:w="15" w:type="dxa"/>
            <w:right w:w="15" w:type="dxa"/>
          </w:tblCellMar>
        </w:tblPrEx>
        <w:trPr>
          <w:trHeight w:val="255" w:hRule="atLeast"/>
        </w:trPr>
        <w:tc>
          <w:tcPr>
            <w:tcW w:w="39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收   入   总   计</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348.59</w:t>
            </w:r>
          </w:p>
        </w:tc>
        <w:tc>
          <w:tcPr>
            <w:tcW w:w="29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支　出  总　计</w:t>
            </w:r>
          </w:p>
        </w:tc>
        <w:tc>
          <w:tcPr>
            <w:tcW w:w="2286"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hint="eastAsia" w:ascii="宋体" w:hAnsi="宋体" w:cs="宋体"/>
                <w:color w:val="000000"/>
                <w:sz w:val="16"/>
                <w:szCs w:val="16"/>
              </w:rPr>
            </w:pPr>
            <w:r>
              <w:rPr>
                <w:rFonts w:hint="eastAsia" w:ascii="宋体" w:hAnsi="宋体" w:cs="宋体"/>
                <w:color w:val="000000"/>
                <w:kern w:val="0"/>
                <w:sz w:val="16"/>
                <w:szCs w:val="16"/>
                <w:lang w:bidi="ar"/>
              </w:rPr>
              <w:t>348.59</w:t>
            </w:r>
          </w:p>
        </w:tc>
      </w:tr>
    </w:tbl>
    <w:p>
      <w:pPr>
        <w:pStyle w:val="2"/>
        <w:keepNext w:val="0"/>
        <w:keepLines w:val="0"/>
        <w:widowControl/>
        <w:suppressLineNumbers w:val="0"/>
        <w:adjustRightInd w:val="0"/>
        <w:snapToGrid w:val="0"/>
        <w:spacing w:before="0" w:beforeAutospacing="0" w:after="0" w:afterAutospacing="0" w:line="360" w:lineRule="auto"/>
        <w:ind w:left="0" w:right="0"/>
      </w:pPr>
    </w:p>
    <w:p>
      <w:pPr>
        <w:pStyle w:val="2"/>
        <w:keepNext w:val="0"/>
        <w:keepLines w:val="0"/>
        <w:widowControl/>
        <w:suppressLineNumbers w:val="0"/>
        <w:adjustRightInd w:val="0"/>
        <w:snapToGrid w:val="0"/>
        <w:spacing w:before="0" w:beforeAutospacing="0" w:after="0" w:afterAutospacing="0" w:line="360" w:lineRule="auto"/>
        <w:ind w:left="0" w:right="0"/>
        <w:jc w:val="both"/>
      </w:pPr>
      <w:r>
        <w:rPr>
          <w:rFonts w:hint="eastAsia" w:ascii="宋体" w:hAnsi="宋体" w:eastAsia="宋体" w:cs="宋体"/>
          <w:kern w:val="0"/>
          <w:sz w:val="24"/>
          <w:szCs w:val="24"/>
        </w:rPr>
        <w:t xml:space="preserve"> </w:t>
      </w:r>
    </w:p>
    <w:p>
      <w:pPr>
        <w:rPr>
          <w:rFonts w:hint="eastAsia" w:ascii="宋体" w:hAnsi="宋体" w:eastAsia="宋体" w:cs="宋体"/>
          <w:kern w:val="2"/>
          <w:sz w:val="21"/>
          <w:szCs w:val="21"/>
        </w:rPr>
        <w:sectPr>
          <w:pgSz w:w="12242" w:h="15842"/>
          <w:pgMar w:top="1440" w:right="1800" w:bottom="1440" w:left="1800" w:header="851" w:footer="992" w:gutter="0"/>
          <w:cols w:space="425" w:num="1"/>
          <w:docGrid w:type="lines" w:linePitch="312" w:charSpace="0"/>
        </w:sectPr>
      </w:pPr>
    </w:p>
    <w:tbl>
      <w:tblPr>
        <w:tblStyle w:val="3"/>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43"/>
        <w:gridCol w:w="2725"/>
        <w:gridCol w:w="532"/>
        <w:gridCol w:w="805"/>
        <w:gridCol w:w="878"/>
        <w:gridCol w:w="774"/>
        <w:gridCol w:w="878"/>
        <w:gridCol w:w="709"/>
        <w:gridCol w:w="595"/>
        <w:gridCol w:w="696"/>
        <w:gridCol w:w="761"/>
        <w:gridCol w:w="1052"/>
        <w:gridCol w:w="1015"/>
        <w:gridCol w:w="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298" w:type="pct"/>
            <w:gridSpan w:val="2"/>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7</w:t>
            </w:r>
          </w:p>
        </w:tc>
        <w:tc>
          <w:tcPr>
            <w:tcW w:w="205"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10"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3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9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3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73"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2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93"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405"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91"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351"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4"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36"/>
                <w:szCs w:val="36"/>
                <w:lang w:val="en-US" w:eastAsia="zh-CN" w:bidi="ar"/>
              </w:rPr>
              <w:t>宿州市总工会</w:t>
            </w:r>
            <w:r>
              <w:rPr>
                <w:rFonts w:hint="default" w:ascii="华文中宋" w:hAnsi="华文中宋" w:eastAsia="华文中宋" w:cs="华文中宋"/>
                <w:b/>
                <w:color w:val="000000"/>
                <w:kern w:val="0"/>
                <w:sz w:val="36"/>
                <w:szCs w:val="36"/>
                <w:lang w:val="en-US" w:eastAsia="zh-CN" w:bidi="ar"/>
              </w:rPr>
              <w:t>2019年部门收入预算总表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9" w:hRule="atLeast"/>
        </w:trPr>
        <w:tc>
          <w:tcPr>
            <w:tcW w:w="1298" w:type="pct"/>
            <w:gridSpan w:val="2"/>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单位名称:工会</w:t>
            </w:r>
          </w:p>
        </w:tc>
        <w:tc>
          <w:tcPr>
            <w:tcW w:w="205"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310"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33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29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33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273"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22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268" w:type="pct"/>
            <w:tcBorders>
              <w:top w:val="nil"/>
              <w:left w:val="nil"/>
              <w:bottom w:val="single" w:color="000000" w:sz="4" w:space="0"/>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293" w:type="pct"/>
            <w:tcBorders>
              <w:top w:val="nil"/>
              <w:left w:val="nil"/>
              <w:bottom w:val="single" w:color="000000" w:sz="4" w:space="0"/>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405" w:type="pct"/>
            <w:tcBorders>
              <w:top w:val="nil"/>
              <w:left w:val="nil"/>
              <w:bottom w:val="single" w:color="000000" w:sz="4" w:space="0"/>
              <w:right w:val="nil"/>
            </w:tcBorders>
            <w:shd w:val="clear" w:color="auto" w:fill="auto"/>
            <w:vAlign w:val="bottom"/>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 </w:t>
            </w:r>
          </w:p>
        </w:tc>
        <w:tc>
          <w:tcPr>
            <w:tcW w:w="742" w:type="pct"/>
            <w:gridSpan w:val="2"/>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6" w:hRule="atLeast"/>
        </w:trPr>
        <w:tc>
          <w:tcPr>
            <w:tcW w:w="1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功能分类科目</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合计</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上年结余</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一般公共预算拨款收入</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3"/>
                <w:szCs w:val="13"/>
                <w:lang w:val="en-US" w:eastAsia="zh-CN" w:bidi="ar"/>
              </w:rPr>
              <w:t>政府性基金预算拨款收入</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3"/>
                <w:szCs w:val="13"/>
                <w:lang w:val="en-US" w:eastAsia="zh-CN" w:bidi="ar"/>
              </w:rPr>
              <w:t>纳入专户管理的政府非税收入</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3"/>
                <w:szCs w:val="13"/>
                <w:lang w:val="en-US" w:eastAsia="zh-CN" w:bidi="ar"/>
              </w:rPr>
              <w:t>国有资本经营预算拨款收入</w:t>
            </w:r>
          </w:p>
        </w:tc>
        <w:tc>
          <w:tcPr>
            <w:tcW w:w="1938"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科目编码</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科目名称</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2"/>
                <w:sz w:val="18"/>
                <w:szCs w:val="18"/>
                <w:lang w:val="en-US" w:eastAsia="zh-CN" w:bidi="ar"/>
              </w:rPr>
              <w:t> </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2"/>
                <w:sz w:val="18"/>
                <w:szCs w:val="18"/>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2"/>
                <w:sz w:val="18"/>
                <w:szCs w:val="18"/>
                <w:lang w:val="en-US" w:eastAsia="zh-CN" w:bidi="ar"/>
              </w:rPr>
              <w:t> </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2"/>
                <w:sz w:val="18"/>
                <w:szCs w:val="18"/>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2"/>
                <w:sz w:val="18"/>
                <w:szCs w:val="18"/>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2"/>
                <w:sz w:val="18"/>
                <w:szCs w:val="18"/>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小计</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事业收入</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经营收入</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上级补助收入</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附属单位上缴收入</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合计</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348.59</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348.59</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201</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一般公共服务支出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208.17</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208.17</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20129</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群众团体事务</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208.17</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208.17</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2012901</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行政运行</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18.67</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18.67</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2012999</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其他群众团体事务支出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189.50</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189.50</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208</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社会保障和就业支出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122.68</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122.68</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20805</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行政事业单位离退休</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22.68</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22.68</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2080505</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机关事业单位基本养老保险缴费支出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22.68</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22.68</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20899</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其他社会保障和就业支出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100.00</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100.00</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2089901</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其他社会保障和就业支出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100.00</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100.00</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210</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卫生健康支出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15.66</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15.66</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21011</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行政事业单位医疗</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15.66</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15.66</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2101101</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行政单位医疗</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11.84</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11.84</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2101103</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公务员医疗补助</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3.82</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3.82</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221</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住房保障支出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22102</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住房改革支出</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2210202</w:t>
            </w:r>
          </w:p>
        </w:tc>
        <w:tc>
          <w:tcPr>
            <w:tcW w:w="10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 xml:space="preserve">    提租补贴</w:t>
            </w:r>
          </w:p>
        </w:tc>
        <w:tc>
          <w:tcPr>
            <w:tcW w:w="2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w:t>
            </w:r>
          </w:p>
        </w:tc>
        <w:tc>
          <w:tcPr>
            <w:tcW w:w="31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6"/>
                <w:szCs w:val="16"/>
                <w:lang w:val="en-US" w:eastAsia="zh-CN" w:bidi="ar"/>
              </w:rPr>
              <w:t>2.08</w:t>
            </w:r>
          </w:p>
        </w:tc>
        <w:tc>
          <w:tcPr>
            <w:tcW w:w="29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2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405"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9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35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bl>
    <w:p>
      <w:pPr>
        <w:rPr>
          <w:rFonts w:hint="eastAsia" w:ascii="宋体" w:hAnsi="宋体" w:eastAsia="宋体" w:cs="宋体"/>
          <w:kern w:val="2"/>
          <w:sz w:val="21"/>
          <w:szCs w:val="21"/>
        </w:rPr>
        <w:sectPr>
          <w:pgSz w:w="15842" w:h="12242" w:orient="landscape"/>
          <w:pgMar w:top="1800" w:right="1440" w:bottom="1800" w:left="1440" w:header="851" w:footer="992" w:gutter="0"/>
          <w:cols w:space="425" w:num="1"/>
          <w:docGrid w:type="lines" w:linePitch="312" w:charSpace="0"/>
        </w:sectPr>
      </w:pPr>
      <w:r>
        <w:rPr>
          <w:rFonts w:hint="eastAsia" w:ascii="宋体" w:hAnsi="宋体" w:eastAsia="宋体" w:cs="宋体"/>
          <w:kern w:val="2"/>
          <w:sz w:val="21"/>
          <w:szCs w:val="21"/>
          <w:lang w:val="en-US" w:eastAsia="zh-CN" w:bidi="ar"/>
        </w:rPr>
        <w:t xml:space="preserve">    </w:t>
      </w:r>
    </w:p>
    <w:tbl>
      <w:tblPr>
        <w:tblStyle w:val="3"/>
        <w:tblW w:w="9982" w:type="dxa"/>
        <w:tblInd w:w="-7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691"/>
        <w:gridCol w:w="848"/>
        <w:gridCol w:w="2218"/>
        <w:gridCol w:w="1727"/>
        <w:gridCol w:w="1605"/>
        <w:gridCol w:w="1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6" w:hRule="atLeast"/>
        </w:trPr>
        <w:tc>
          <w:tcPr>
            <w:tcW w:w="2539" w:type="dxa"/>
            <w:gridSpan w:val="2"/>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textAlignment w:val="bottom"/>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8</w:t>
            </w:r>
          </w:p>
        </w:tc>
        <w:tc>
          <w:tcPr>
            <w:tcW w:w="2218"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727"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605"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93" w:type="dxa"/>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2" w:hRule="atLeast"/>
        </w:trPr>
        <w:tc>
          <w:tcPr>
            <w:tcW w:w="9982"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36"/>
                <w:szCs w:val="36"/>
                <w:lang w:val="en-US" w:eastAsia="zh-CN" w:bidi="ar"/>
              </w:rPr>
              <w:t>宿州市总工会</w:t>
            </w:r>
            <w:r>
              <w:rPr>
                <w:rFonts w:hint="default" w:ascii="华文中宋" w:hAnsi="华文中宋" w:eastAsia="华文中宋" w:cs="华文中宋"/>
                <w:b/>
                <w:color w:val="000000"/>
                <w:kern w:val="0"/>
                <w:sz w:val="36"/>
                <w:szCs w:val="36"/>
                <w:lang w:val="en-US" w:eastAsia="zh-CN" w:bidi="ar"/>
              </w:rPr>
              <w:t>2019年部门支出预算总表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2539" w:type="dxa"/>
            <w:gridSpan w:val="2"/>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单位名称:工会</w:t>
            </w:r>
          </w:p>
        </w:tc>
        <w:tc>
          <w:tcPr>
            <w:tcW w:w="2218"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1727"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1605"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1893"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4" w:hRule="atLeast"/>
        </w:trPr>
        <w:tc>
          <w:tcPr>
            <w:tcW w:w="4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功能分类科目</w:t>
            </w:r>
          </w:p>
        </w:tc>
        <w:tc>
          <w:tcPr>
            <w:tcW w:w="172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合计</w:t>
            </w:r>
          </w:p>
        </w:tc>
        <w:tc>
          <w:tcPr>
            <w:tcW w:w="16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基本支出</w:t>
            </w:r>
          </w:p>
        </w:tc>
        <w:tc>
          <w:tcPr>
            <w:tcW w:w="189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4"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科目编码</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18"/>
                <w:szCs w:val="18"/>
                <w:lang w:val="en-US" w:eastAsia="zh-CN" w:bidi="ar"/>
              </w:rPr>
              <w:t>科目名称</w:t>
            </w:r>
          </w:p>
        </w:tc>
        <w:tc>
          <w:tcPr>
            <w:tcW w:w="1727"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605"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893"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8"/>
                <w:szCs w:val="18"/>
                <w:lang w:val="en-US" w:eastAsia="zh-CN" w:bidi="ar"/>
              </w:rPr>
              <w:t> </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合计</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348.59</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59.09</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一般公共服务支出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208.17</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20129</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群众团体事务</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208.17</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2012901</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行政运行</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18.67</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2012999</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其他群众团体事务支出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社会保障和就业支出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122.68</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20805</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行政事业单位离退休</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2"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2080505</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机关事业单位基本养老保险缴费支出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22.68</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20899</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其他社会保障和就业支出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2089901</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其他社会保障和就业支出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卫生健康支出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21011</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行政事业单位医疗</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15.66</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2101101</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行政单位医疗</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11.84</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11.84</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2101103</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公务员医疗补助</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3.82</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3.82</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221</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住房保障支出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22102</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住房改革支出</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2210202</w:t>
            </w:r>
          </w:p>
        </w:tc>
        <w:tc>
          <w:tcPr>
            <w:tcW w:w="306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8"/>
                <w:szCs w:val="18"/>
                <w:lang w:val="en-US" w:eastAsia="zh-CN" w:bidi="ar"/>
              </w:rPr>
              <w:t xml:space="preserve">    提租补贴</w:t>
            </w:r>
          </w:p>
        </w:tc>
        <w:tc>
          <w:tcPr>
            <w:tcW w:w="172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60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18"/>
                <w:szCs w:val="18"/>
                <w:lang w:val="en-US" w:eastAsia="zh-CN" w:bidi="ar"/>
              </w:rPr>
              <w:t>2.08</w:t>
            </w:r>
          </w:p>
        </w:tc>
        <w:tc>
          <w:tcPr>
            <w:tcW w:w="18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8"/>
                <w:szCs w:val="18"/>
                <w:lang w:val="en-US" w:eastAsia="zh-CN" w:bidi="ar"/>
              </w:rPr>
              <w:t> </w:t>
            </w:r>
          </w:p>
        </w:tc>
      </w:tr>
    </w:tbl>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rPr>
          <w:rFonts w:hint="default" w:ascii="Times New Roman" w:hAnsi="Times New Roman" w:cs="Times New Roman"/>
          <w:kern w:val="2"/>
          <w:sz w:val="21"/>
          <w:szCs w:val="21"/>
        </w:rPr>
        <w:sectPr>
          <w:pgSz w:w="12242" w:h="15842"/>
          <w:pgMar w:top="1440" w:right="1800" w:bottom="1440" w:left="1800" w:header="851" w:footer="992" w:gutter="0"/>
          <w:cols w:space="425" w:num="1"/>
          <w:docGrid w:type="lines" w:linePitch="312" w:charSpace="0"/>
        </w:sectPr>
      </w:pPr>
    </w:p>
    <w:tbl>
      <w:tblPr>
        <w:tblStyle w:val="3"/>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3"/>
        <w:gridCol w:w="1311"/>
        <w:gridCol w:w="836"/>
        <w:gridCol w:w="763"/>
        <w:gridCol w:w="753"/>
        <w:gridCol w:w="646"/>
        <w:gridCol w:w="693"/>
        <w:gridCol w:w="646"/>
        <w:gridCol w:w="659"/>
        <w:gridCol w:w="472"/>
        <w:gridCol w:w="680"/>
        <w:gridCol w:w="600"/>
        <w:gridCol w:w="750"/>
        <w:gridCol w:w="600"/>
        <w:gridCol w:w="566"/>
        <w:gridCol w:w="472"/>
        <w:gridCol w:w="472"/>
        <w:gridCol w:w="472"/>
        <w:gridCol w:w="473"/>
        <w:gridCol w:w="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1063" w:type="pct"/>
            <w:gridSpan w:val="3"/>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default" w:ascii="Times New Roman" w:hAnsi="Times New Roman" w:cs="Times New Roman" w:eastAsiaTheme="minorEastAsia"/>
                <w:kern w:val="2"/>
                <w:sz w:val="21"/>
                <w:szCs w:val="21"/>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9</w:t>
            </w:r>
          </w:p>
        </w:tc>
        <w:tc>
          <w:tcPr>
            <w:tcW w:w="294"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90"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4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7"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4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54"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31"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8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31"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1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2" w:hRule="atLeast"/>
        </w:trPr>
        <w:tc>
          <w:tcPr>
            <w:tcW w:w="1063" w:type="pct"/>
            <w:gridSpan w:val="3"/>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 </w:t>
            </w:r>
          </w:p>
        </w:tc>
        <w:tc>
          <w:tcPr>
            <w:tcW w:w="294"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90"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4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7"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4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54"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31"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8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31"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18"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63" w:hRule="atLeast"/>
        </w:trPr>
        <w:tc>
          <w:tcPr>
            <w:tcW w:w="5000" w:type="pct"/>
            <w:gridSpan w:val="20"/>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36"/>
                <w:szCs w:val="36"/>
                <w:lang w:val="en-US" w:eastAsia="zh-CN" w:bidi="ar"/>
              </w:rPr>
              <w:t>宿州市总工会2019年政府采购预算表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2" w:hRule="atLeast"/>
        </w:trPr>
        <w:tc>
          <w:tcPr>
            <w:tcW w:w="236"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firstLine="440" w:firstLineChars="200"/>
              <w:jc w:val="left"/>
            </w:pPr>
            <w:r>
              <w:rPr>
                <w:rFonts w:hint="eastAsia" w:ascii="宋体" w:hAnsi="宋体" w:eastAsia="宋体" w:cs="宋体"/>
                <w:color w:val="000000"/>
                <w:kern w:val="2"/>
                <w:sz w:val="22"/>
                <w:szCs w:val="22"/>
                <w:lang w:val="en-US" w:eastAsia="zh-CN" w:bidi="ar"/>
              </w:rPr>
              <w:t xml:space="preserve">      </w:t>
            </w:r>
          </w:p>
        </w:tc>
        <w:tc>
          <w:tcPr>
            <w:tcW w:w="505"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321"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20"/>
                <w:szCs w:val="20"/>
                <w:lang w:val="en-US" w:eastAsia="zh-CN" w:bidi="ar"/>
              </w:rPr>
              <w:t> </w:t>
            </w:r>
          </w:p>
        </w:tc>
        <w:tc>
          <w:tcPr>
            <w:tcW w:w="29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20"/>
                <w:szCs w:val="20"/>
                <w:lang w:val="en-US" w:eastAsia="zh-CN" w:bidi="ar"/>
              </w:rPr>
              <w:t> </w:t>
            </w:r>
          </w:p>
        </w:tc>
        <w:tc>
          <w:tcPr>
            <w:tcW w:w="29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4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7"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4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54"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62"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31"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89" w:type="pct"/>
            <w:tcBorders>
              <w:top w:val="nil"/>
              <w:left w:val="nil"/>
              <w:bottom w:val="nil"/>
              <w:right w:val="nil"/>
            </w:tcBorders>
            <w:shd w:val="clear" w:color="auto" w:fill="auto"/>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231"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18"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82"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82"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82"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365" w:type="pct"/>
            <w:gridSpan w:val="2"/>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8" w:hRule="atLeast"/>
        </w:trPr>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单位编码</w:t>
            </w:r>
          </w:p>
        </w:tc>
        <w:tc>
          <w:tcPr>
            <w:tcW w:w="505"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单位名称（采购品目）</w:t>
            </w:r>
          </w:p>
        </w:tc>
        <w:tc>
          <w:tcPr>
            <w:tcW w:w="32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合计</w:t>
            </w:r>
          </w:p>
        </w:tc>
        <w:tc>
          <w:tcPr>
            <w:tcW w:w="29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公共财政预算收入安排</w:t>
            </w:r>
          </w:p>
        </w:tc>
        <w:tc>
          <w:tcPr>
            <w:tcW w:w="29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6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8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纳入专户管理的政府非税收入安排</w:t>
            </w:r>
          </w:p>
        </w:tc>
        <w:tc>
          <w:tcPr>
            <w:tcW w:w="26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政府性基金收入</w:t>
            </w:r>
          </w:p>
        </w:tc>
        <w:tc>
          <w:tcPr>
            <w:tcW w:w="23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社保基金收入</w:t>
            </w:r>
          </w:p>
        </w:tc>
        <w:tc>
          <w:tcPr>
            <w:tcW w:w="28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国有资本经营收入</w:t>
            </w:r>
          </w:p>
        </w:tc>
        <w:tc>
          <w:tcPr>
            <w:tcW w:w="23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其他资金安排</w:t>
            </w:r>
          </w:p>
        </w:tc>
        <w:tc>
          <w:tcPr>
            <w:tcW w:w="21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上年结余安排</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1" w:hRule="atLeast"/>
        </w:trPr>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05"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321"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9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小计</w:t>
            </w:r>
          </w:p>
        </w:tc>
        <w:tc>
          <w:tcPr>
            <w:tcW w:w="29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公共财政预算拨款</w:t>
            </w:r>
          </w:p>
        </w:tc>
        <w:tc>
          <w:tcPr>
            <w:tcW w:w="2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5"/>
                <w:szCs w:val="15"/>
                <w:lang w:val="en-US" w:eastAsia="zh-CN" w:bidi="ar"/>
              </w:rPr>
              <w:t>专项收入</w:t>
            </w:r>
          </w:p>
        </w:tc>
        <w:tc>
          <w:tcPr>
            <w:tcW w:w="26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5"/>
                <w:szCs w:val="15"/>
                <w:lang w:val="en-US" w:eastAsia="zh-CN" w:bidi="ar"/>
              </w:rPr>
              <w:t>行政事业性           收费收入</w:t>
            </w:r>
          </w:p>
        </w:tc>
        <w:tc>
          <w:tcPr>
            <w:tcW w:w="2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5"/>
                <w:szCs w:val="15"/>
                <w:lang w:val="en-US" w:eastAsia="zh-CN" w:bidi="ar"/>
              </w:rPr>
              <w:t>罚没收入</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其他非税收入</w:t>
            </w:r>
          </w:p>
        </w:tc>
        <w:tc>
          <w:tcPr>
            <w:tcW w:w="182"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62"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31"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89"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31"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1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上年结余（公共财政资金）</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上年结余（政府性基金）</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上年结余（非部收入超收）</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上年结余（国资经营收入）</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上年结余（专户）</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2" w:hRule="atLeast"/>
        </w:trPr>
        <w:tc>
          <w:tcPr>
            <w:tcW w:w="23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w:t>
            </w:r>
          </w:p>
        </w:tc>
        <w:tc>
          <w:tcPr>
            <w:tcW w:w="505"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w:t>
            </w:r>
          </w:p>
        </w:tc>
        <w:tc>
          <w:tcPr>
            <w:tcW w:w="321"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w:t>
            </w:r>
          </w:p>
        </w:tc>
        <w:tc>
          <w:tcPr>
            <w:tcW w:w="29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2</w:t>
            </w:r>
          </w:p>
        </w:tc>
        <w:tc>
          <w:tcPr>
            <w:tcW w:w="29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3</w:t>
            </w:r>
          </w:p>
        </w:tc>
        <w:tc>
          <w:tcPr>
            <w:tcW w:w="249"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4</w:t>
            </w:r>
          </w:p>
        </w:tc>
        <w:tc>
          <w:tcPr>
            <w:tcW w:w="267"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5</w:t>
            </w:r>
          </w:p>
        </w:tc>
        <w:tc>
          <w:tcPr>
            <w:tcW w:w="249"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6</w:t>
            </w:r>
          </w:p>
        </w:tc>
        <w:tc>
          <w:tcPr>
            <w:tcW w:w="25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7</w:t>
            </w:r>
          </w:p>
        </w:tc>
        <w:tc>
          <w:tcPr>
            <w:tcW w:w="18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8</w:t>
            </w:r>
          </w:p>
        </w:tc>
        <w:tc>
          <w:tcPr>
            <w:tcW w:w="26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9</w:t>
            </w:r>
          </w:p>
        </w:tc>
        <w:tc>
          <w:tcPr>
            <w:tcW w:w="231"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10</w:t>
            </w:r>
          </w:p>
        </w:tc>
        <w:tc>
          <w:tcPr>
            <w:tcW w:w="289"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11</w:t>
            </w:r>
          </w:p>
        </w:tc>
        <w:tc>
          <w:tcPr>
            <w:tcW w:w="231"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12</w:t>
            </w:r>
          </w:p>
        </w:tc>
        <w:tc>
          <w:tcPr>
            <w:tcW w:w="218"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13</w:t>
            </w:r>
          </w:p>
        </w:tc>
        <w:tc>
          <w:tcPr>
            <w:tcW w:w="18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14</w:t>
            </w:r>
          </w:p>
        </w:tc>
        <w:tc>
          <w:tcPr>
            <w:tcW w:w="18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15</w:t>
            </w:r>
          </w:p>
        </w:tc>
        <w:tc>
          <w:tcPr>
            <w:tcW w:w="18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16</w:t>
            </w:r>
          </w:p>
        </w:tc>
        <w:tc>
          <w:tcPr>
            <w:tcW w:w="18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17</w:t>
            </w:r>
          </w:p>
        </w:tc>
        <w:tc>
          <w:tcPr>
            <w:tcW w:w="18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236"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50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32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9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4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6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3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8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3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1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8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bl>
    <w:p>
      <w:pPr>
        <w:pStyle w:val="2"/>
        <w:keepNext w:val="0"/>
        <w:keepLines w:val="0"/>
        <w:widowControl/>
        <w:suppressLineNumbers w:val="0"/>
        <w:adjustRightInd w:val="0"/>
        <w:snapToGrid w:val="0"/>
        <w:spacing w:before="0" w:beforeAutospacing="0" w:after="0" w:afterAutospacing="0" w:line="360" w:lineRule="auto"/>
        <w:ind w:left="0" w:right="0"/>
      </w:pPr>
      <w:r>
        <w:rPr>
          <w:rFonts w:hint="eastAsia" w:ascii="宋体" w:hAnsi="宋体" w:eastAsia="宋体" w:cs="宋体"/>
          <w:kern w:val="0"/>
          <w:sz w:val="24"/>
          <w:szCs w:val="24"/>
        </w:rPr>
        <w:t>宿州市总工会</w:t>
      </w:r>
      <w:r>
        <w:rPr>
          <w:rFonts w:hint="eastAsia" w:ascii="宋体" w:hAnsi="宋体" w:eastAsia="宋体" w:cs="宋体"/>
          <w:color w:val="000000"/>
          <w:kern w:val="0"/>
          <w:sz w:val="22"/>
          <w:szCs w:val="22"/>
        </w:rPr>
        <w:t>2019年</w:t>
      </w:r>
      <w:r>
        <w:rPr>
          <w:rFonts w:hint="eastAsia" w:ascii="宋体" w:hAnsi="宋体" w:eastAsia="宋体" w:cs="宋体"/>
          <w:kern w:val="0"/>
          <w:sz w:val="24"/>
          <w:szCs w:val="24"/>
        </w:rPr>
        <w:t>没有政府采购预算安排，故本表无数据。</w:t>
      </w:r>
    </w:p>
    <w:p>
      <w:pPr>
        <w:pStyle w:val="2"/>
        <w:keepNext w:val="0"/>
        <w:keepLines w:val="0"/>
        <w:widowControl/>
        <w:suppressLineNumbers w:val="0"/>
        <w:adjustRightInd w:val="0"/>
        <w:snapToGrid w:val="0"/>
        <w:spacing w:before="0" w:beforeAutospacing="0" w:after="0" w:afterAutospacing="0" w:line="360" w:lineRule="auto"/>
        <w:ind w:left="0" w:right="0"/>
        <w:jc w:val="center"/>
      </w:pPr>
      <w:r>
        <w:rPr>
          <w:rFonts w:hint="eastAsia" w:ascii="黑体" w:hAnsi="宋体" w:eastAsia="黑体" w:cs="宋体"/>
          <w:kern w:val="0"/>
          <w:sz w:val="36"/>
          <w:szCs w:val="36"/>
        </w:rPr>
        <w:t xml:space="preserve"> </w:t>
      </w:r>
    </w:p>
    <w:p>
      <w:pPr>
        <w:rPr>
          <w:rFonts w:hint="default" w:ascii="Times New Roman" w:hAnsi="Times New Roman" w:cs="Times New Roman"/>
          <w:kern w:val="2"/>
          <w:sz w:val="21"/>
          <w:szCs w:val="21"/>
        </w:rPr>
        <w:sectPr>
          <w:pgSz w:w="15842" w:h="12242" w:orient="landscape"/>
          <w:pgMar w:top="1803" w:right="1440" w:bottom="1803" w:left="1440" w:header="851" w:footer="992" w:gutter="0"/>
          <w:cols w:space="0" w:num="1"/>
          <w:rtlGutter w:val="0"/>
          <w:docGrid w:type="lines" w:linePitch="319" w:charSpace="0"/>
        </w:sect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28"/>
        <w:gridCol w:w="1543"/>
        <w:gridCol w:w="730"/>
        <w:gridCol w:w="650"/>
        <w:gridCol w:w="660"/>
        <w:gridCol w:w="616"/>
        <w:gridCol w:w="660"/>
        <w:gridCol w:w="629"/>
        <w:gridCol w:w="660"/>
        <w:gridCol w:w="626"/>
        <w:gridCol w:w="616"/>
        <w:gridCol w:w="605"/>
        <w:gridCol w:w="616"/>
        <w:gridCol w:w="605"/>
        <w:gridCol w:w="660"/>
        <w:gridCol w:w="442"/>
        <w:gridCol w:w="442"/>
        <w:gridCol w:w="442"/>
        <w:gridCol w:w="442"/>
        <w:gridCol w:w="465"/>
        <w:gridCol w:w="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0" w:type="pct"/>
          <w:trHeight w:val="186" w:hRule="atLeast"/>
        </w:trPr>
        <w:tc>
          <w:tcPr>
            <w:tcW w:w="1194" w:type="pct"/>
            <w:gridSpan w:val="3"/>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default" w:ascii="Times New Roman" w:hAnsi="Times New Roman" w:cs="Times New Roman" w:eastAsiaTheme="minorEastAsia"/>
                <w:kern w:val="2"/>
                <w:sz w:val="21"/>
                <w:szCs w:val="21"/>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1"/>
                <w:szCs w:val="21"/>
                <w:lang w:val="en-US" w:eastAsia="zh-CN" w:bidi="ar"/>
              </w:rPr>
              <w:t>部门公开表</w:t>
            </w:r>
            <w:r>
              <w:rPr>
                <w:rFonts w:hint="default" w:ascii="Times New Roman" w:hAnsi="Times New Roman" w:eastAsia="宋体" w:cs="Times New Roman"/>
                <w:kern w:val="2"/>
                <w:sz w:val="21"/>
                <w:szCs w:val="21"/>
                <w:lang w:val="en-US" w:eastAsia="zh-CN" w:bidi="ar"/>
              </w:rPr>
              <w:t>10</w:t>
            </w:r>
          </w:p>
        </w:tc>
        <w:tc>
          <w:tcPr>
            <w:tcW w:w="25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37"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42"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41"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37"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33"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37"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33"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1"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6" w:hRule="atLeast"/>
        </w:trPr>
        <w:tc>
          <w:tcPr>
            <w:tcW w:w="5000" w:type="pct"/>
            <w:gridSpan w:val="21"/>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36"/>
                <w:szCs w:val="36"/>
                <w:lang w:val="en-US" w:eastAsia="zh-CN" w:bidi="ar"/>
              </w:rPr>
              <w:t>宿州市总工会2019年政府购买服务表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0" w:type="pct"/>
          <w:trHeight w:val="355" w:hRule="atLeast"/>
        </w:trPr>
        <w:tc>
          <w:tcPr>
            <w:tcW w:w="319"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59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8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20"/>
                <w:szCs w:val="20"/>
                <w:lang w:val="en-US" w:eastAsia="zh-CN" w:bidi="ar"/>
              </w:rPr>
              <w:t> </w:t>
            </w:r>
          </w:p>
        </w:tc>
        <w:tc>
          <w:tcPr>
            <w:tcW w:w="25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37"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42"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41"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37"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33"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37"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0"/>
                <w:szCs w:val="20"/>
                <w:lang w:val="en-US" w:eastAsia="zh-CN" w:bidi="ar"/>
              </w:rPr>
              <w:t> </w:t>
            </w:r>
          </w:p>
        </w:tc>
        <w:tc>
          <w:tcPr>
            <w:tcW w:w="233"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254"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170" w:type="pct"/>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 </w:t>
            </w:r>
          </w:p>
        </w:tc>
        <w:tc>
          <w:tcPr>
            <w:tcW w:w="341" w:type="pct"/>
            <w:gridSpan w:val="2"/>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right"/>
              <w:textAlignment w:val="center"/>
            </w:pPr>
            <w:r>
              <w:rPr>
                <w:rFonts w:hint="eastAsia" w:ascii="宋体" w:hAnsi="宋体" w:eastAsia="宋体" w:cs="宋体"/>
                <w:color w:val="000000"/>
                <w:kern w:val="0"/>
                <w:sz w:val="20"/>
                <w:szCs w:val="2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0" w:type="pct"/>
          <w:trHeight w:val="531" w:hRule="atLeast"/>
        </w:trPr>
        <w:tc>
          <w:tcPr>
            <w:tcW w:w="3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单位编码</w:t>
            </w:r>
          </w:p>
        </w:tc>
        <w:tc>
          <w:tcPr>
            <w:tcW w:w="594"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单位名称（采购服务项目）</w:t>
            </w:r>
          </w:p>
        </w:tc>
        <w:tc>
          <w:tcPr>
            <w:tcW w:w="280"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合计</w:t>
            </w:r>
          </w:p>
        </w:tc>
        <w:tc>
          <w:tcPr>
            <w:tcW w:w="25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公共财政预算收入安排</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3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4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4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纳入专户管理的政府非税收入安排</w:t>
            </w:r>
          </w:p>
        </w:tc>
        <w:tc>
          <w:tcPr>
            <w:tcW w:w="23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政府性基金收入</w:t>
            </w:r>
          </w:p>
        </w:tc>
        <w:tc>
          <w:tcPr>
            <w:tcW w:w="23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社保基金收入</w:t>
            </w:r>
          </w:p>
        </w:tc>
        <w:tc>
          <w:tcPr>
            <w:tcW w:w="23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国有资本经营收入</w:t>
            </w:r>
          </w:p>
        </w:tc>
        <w:tc>
          <w:tcPr>
            <w:tcW w:w="23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其他资金安排</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16"/>
                <w:szCs w:val="16"/>
                <w:lang w:val="en-US" w:eastAsia="zh-CN" w:bidi="ar"/>
              </w:rPr>
              <w:t>上年结余安排</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17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0" w:type="pct"/>
          <w:trHeight w:val="1040" w:hRule="atLeast"/>
        </w:trPr>
        <w:tc>
          <w:tcPr>
            <w:tcW w:w="3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94"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80"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5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小计</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公共财政预算拨款</w:t>
            </w:r>
          </w:p>
        </w:tc>
        <w:tc>
          <w:tcPr>
            <w:tcW w:w="23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5"/>
                <w:szCs w:val="15"/>
                <w:lang w:val="en-US" w:eastAsia="zh-CN" w:bidi="ar"/>
              </w:rPr>
              <w:t>专项收入</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5"/>
                <w:szCs w:val="15"/>
                <w:lang w:val="en-US" w:eastAsia="zh-CN" w:bidi="ar"/>
              </w:rPr>
              <w:t>行政事业性           收费收入</w:t>
            </w:r>
          </w:p>
        </w:tc>
        <w:tc>
          <w:tcPr>
            <w:tcW w:w="24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5"/>
                <w:szCs w:val="15"/>
                <w:lang w:val="en-US" w:eastAsia="zh-CN" w:bidi="ar"/>
              </w:rPr>
              <w:t>罚没收入</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其他非税收入</w:t>
            </w:r>
          </w:p>
        </w:tc>
        <w:tc>
          <w:tcPr>
            <w:tcW w:w="241"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37"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33"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37"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33" w:type="pct"/>
            <w:vMerge w:val="continue"/>
            <w:tcBorders>
              <w:top w:val="single" w:color="000000" w:sz="4" w:space="0"/>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上年结余（公共财政资金）</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上年结余（政府性基金）</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上年结余（非部收入超收）</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上年结余（国资经营收入）</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上年结余（专户）</w:t>
            </w:r>
          </w:p>
        </w:tc>
        <w:tc>
          <w:tcPr>
            <w:tcW w:w="17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上年结余（其他收入）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0" w:type="pct"/>
          <w:trHeight w:val="191" w:hRule="atLeast"/>
        </w:trPr>
        <w:tc>
          <w:tcPr>
            <w:tcW w:w="31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w:t>
            </w:r>
          </w:p>
        </w:tc>
        <w:tc>
          <w:tcPr>
            <w:tcW w:w="59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w:t>
            </w:r>
          </w:p>
        </w:tc>
        <w:tc>
          <w:tcPr>
            <w:tcW w:w="28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w:t>
            </w:r>
          </w:p>
        </w:tc>
        <w:tc>
          <w:tcPr>
            <w:tcW w:w="25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2</w:t>
            </w:r>
          </w:p>
        </w:tc>
        <w:tc>
          <w:tcPr>
            <w:tcW w:w="25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3</w:t>
            </w:r>
          </w:p>
        </w:tc>
        <w:tc>
          <w:tcPr>
            <w:tcW w:w="237"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4</w:t>
            </w:r>
          </w:p>
        </w:tc>
        <w:tc>
          <w:tcPr>
            <w:tcW w:w="25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5</w:t>
            </w:r>
          </w:p>
        </w:tc>
        <w:tc>
          <w:tcPr>
            <w:tcW w:w="242"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6</w:t>
            </w:r>
          </w:p>
        </w:tc>
        <w:tc>
          <w:tcPr>
            <w:tcW w:w="25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7</w:t>
            </w:r>
          </w:p>
        </w:tc>
        <w:tc>
          <w:tcPr>
            <w:tcW w:w="241"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8</w:t>
            </w:r>
          </w:p>
        </w:tc>
        <w:tc>
          <w:tcPr>
            <w:tcW w:w="237"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9</w:t>
            </w:r>
          </w:p>
        </w:tc>
        <w:tc>
          <w:tcPr>
            <w:tcW w:w="233"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10</w:t>
            </w:r>
          </w:p>
        </w:tc>
        <w:tc>
          <w:tcPr>
            <w:tcW w:w="237"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11</w:t>
            </w:r>
          </w:p>
        </w:tc>
        <w:tc>
          <w:tcPr>
            <w:tcW w:w="233"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12</w:t>
            </w:r>
          </w:p>
        </w:tc>
        <w:tc>
          <w:tcPr>
            <w:tcW w:w="254"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13</w:t>
            </w:r>
          </w:p>
        </w:tc>
        <w:tc>
          <w:tcPr>
            <w:tcW w:w="17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14</w:t>
            </w:r>
          </w:p>
        </w:tc>
        <w:tc>
          <w:tcPr>
            <w:tcW w:w="17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15</w:t>
            </w:r>
          </w:p>
        </w:tc>
        <w:tc>
          <w:tcPr>
            <w:tcW w:w="17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16</w:t>
            </w:r>
          </w:p>
        </w:tc>
        <w:tc>
          <w:tcPr>
            <w:tcW w:w="170"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17</w:t>
            </w:r>
          </w:p>
        </w:tc>
        <w:tc>
          <w:tcPr>
            <w:tcW w:w="171" w:type="pct"/>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16"/>
                <w:szCs w:val="16"/>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20" w:type="pct"/>
          <w:trHeight w:val="268" w:hRule="atLeast"/>
        </w:trPr>
        <w:tc>
          <w:tcPr>
            <w:tcW w:w="319"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59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16"/>
                <w:szCs w:val="16"/>
                <w:lang w:val="en-US" w:eastAsia="zh-CN" w:bidi="ar"/>
              </w:rPr>
              <w:t> </w:t>
            </w:r>
          </w:p>
        </w:tc>
        <w:tc>
          <w:tcPr>
            <w:tcW w:w="28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3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4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4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3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3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37"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3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25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70"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c>
          <w:tcPr>
            <w:tcW w:w="171"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16"/>
                <w:szCs w:val="16"/>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0" w:type="pct"/>
          <w:trHeight w:val="268" w:hRule="atLeast"/>
        </w:trPr>
        <w:tc>
          <w:tcPr>
            <w:tcW w:w="4979" w:type="pct"/>
            <w:gridSpan w:val="20"/>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宿州市总工会2019年无政府购买服务安排，故本表无数据。</w:t>
            </w:r>
          </w:p>
        </w:tc>
      </w:tr>
    </w:tbl>
    <w:p>
      <w:pPr>
        <w:rPr>
          <w:rFonts w:hint="eastAsia" w:ascii="黑体" w:hAnsi="宋体" w:eastAsia="黑体" w:cs="宋体"/>
          <w:kern w:val="0"/>
          <w:sz w:val="36"/>
          <w:szCs w:val="36"/>
        </w:rPr>
        <w:sectPr>
          <w:pgSz w:w="15842" w:h="12242" w:orient="landscape"/>
          <w:pgMar w:top="1803" w:right="1440" w:bottom="1803" w:left="1440" w:header="851" w:footer="992" w:gutter="0"/>
          <w:cols w:space="0" w:num="1"/>
          <w:rtlGutter w:val="0"/>
          <w:docGrid w:type="lines" w:linePitch="319" w:charSpace="0"/>
        </w:sectPr>
      </w:pPr>
    </w:p>
    <w:p>
      <w:pPr>
        <w:pStyle w:val="2"/>
        <w:keepNext w:val="0"/>
        <w:keepLines w:val="0"/>
        <w:widowControl/>
        <w:suppressLineNumbers w:val="0"/>
        <w:adjustRightInd w:val="0"/>
        <w:snapToGrid w:val="0"/>
        <w:spacing w:before="0" w:beforeAutospacing="0" w:after="0" w:afterAutospacing="0" w:line="600" w:lineRule="exact"/>
        <w:ind w:left="0" w:right="0"/>
        <w:jc w:val="center"/>
      </w:pPr>
      <w:r>
        <w:rPr>
          <w:rFonts w:hint="eastAsia" w:ascii="黑体" w:hAnsi="宋体" w:eastAsia="黑体" w:cs="黑体"/>
          <w:kern w:val="0"/>
          <w:sz w:val="36"/>
          <w:szCs w:val="36"/>
        </w:rPr>
        <w:t>第三部分</w:t>
      </w:r>
      <w:r>
        <w:rPr>
          <w:rFonts w:hint="eastAsia" w:ascii="黑体" w:hAnsi="宋体" w:eastAsia="黑体" w:cs="宋体"/>
          <w:kern w:val="0"/>
          <w:sz w:val="36"/>
          <w:szCs w:val="36"/>
        </w:rPr>
        <w:t xml:space="preserve"> 2019年部门预算情况说明</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黑体" w:hAnsi="宋体" w:eastAsia="黑体" w:cs="黑体"/>
          <w:kern w:val="0"/>
          <w:sz w:val="32"/>
          <w:szCs w:val="32"/>
        </w:rPr>
        <w:t>一、关于</w:t>
      </w:r>
      <w:r>
        <w:rPr>
          <w:rFonts w:hint="eastAsia" w:ascii="黑体" w:hAnsi="宋体" w:eastAsia="黑体" w:cs="宋体"/>
          <w:kern w:val="0"/>
          <w:sz w:val="32"/>
          <w:szCs w:val="32"/>
        </w:rPr>
        <w:t>2019年财政拨款收支预算总体情况说明</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default" w:ascii="仿宋_GB2312" w:hAnsi="仿宋" w:eastAsia="仿宋_GB2312" w:cs="仿宋_GB2312"/>
          <w:kern w:val="2"/>
          <w:sz w:val="32"/>
          <w:szCs w:val="32"/>
        </w:rPr>
        <w:t>宿州市总工会</w:t>
      </w:r>
      <w:r>
        <w:rPr>
          <w:rFonts w:hint="default" w:ascii="仿宋_GB2312" w:hAnsi="仿宋" w:eastAsia="仿宋_GB2312" w:cs="Times New Roman"/>
          <w:kern w:val="2"/>
          <w:sz w:val="32"/>
          <w:szCs w:val="32"/>
        </w:rPr>
        <w:t>2019年财政拨款收支预算</w:t>
      </w:r>
      <w:r>
        <w:rPr>
          <w:rFonts w:hint="default" w:ascii="仿宋_GB2312" w:hAnsi="仿宋" w:eastAsia="仿宋_GB2312" w:cs="宋体"/>
          <w:kern w:val="0"/>
          <w:sz w:val="32"/>
          <w:szCs w:val="32"/>
        </w:rPr>
        <w:t>348.59</w:t>
      </w:r>
      <w:r>
        <w:rPr>
          <w:rFonts w:hint="default" w:ascii="仿宋_GB2312" w:hAnsi="仿宋" w:eastAsia="仿宋_GB2312" w:cs="仿宋_GB2312"/>
          <w:kern w:val="2"/>
          <w:sz w:val="32"/>
          <w:szCs w:val="32"/>
        </w:rPr>
        <w:t>万元。收入按资金来源分为：一般公共预算拨款</w:t>
      </w:r>
      <w:r>
        <w:rPr>
          <w:rFonts w:hint="default" w:ascii="仿宋_GB2312" w:hAnsi="仿宋" w:eastAsia="仿宋_GB2312" w:cs="Times New Roman"/>
          <w:kern w:val="2"/>
          <w:sz w:val="32"/>
          <w:szCs w:val="32"/>
        </w:rPr>
        <w:t>348.59万元、政府性基金预算拨款0万元、国有资本经营预算拨款0万元；按资金年度分为：当年财政拨款收入348.59万元，上年结转0万元。支出按功能分类分为：一般公共服务支出208.17万元，占59.72%；社会保障和就业支出122.68万元，占35.19%；卫生健康支出15.66万元，占4.49%；住房保障支出2.08万元，占0.6%。</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黑体" w:hAnsi="宋体" w:eastAsia="黑体" w:cs="黑体"/>
          <w:kern w:val="2"/>
          <w:sz w:val="32"/>
          <w:szCs w:val="32"/>
        </w:rPr>
        <w:t>二、关于</w:t>
      </w:r>
      <w:r>
        <w:rPr>
          <w:rFonts w:hint="eastAsia" w:ascii="黑体" w:hAnsi="仿宋" w:eastAsia="黑体" w:cs="Times New Roman"/>
          <w:kern w:val="2"/>
          <w:sz w:val="32"/>
          <w:szCs w:val="32"/>
        </w:rPr>
        <w:t>2019年一般公共预算拨款情况说明</w:t>
      </w:r>
    </w:p>
    <w:p>
      <w:pPr>
        <w:pStyle w:val="2"/>
        <w:keepNext w:val="0"/>
        <w:keepLines w:val="0"/>
        <w:widowControl/>
        <w:suppressLineNumbers w:val="0"/>
        <w:adjustRightInd w:val="0"/>
        <w:snapToGrid w:val="0"/>
        <w:spacing w:before="0" w:beforeAutospacing="0" w:after="0" w:afterAutospacing="0" w:line="600" w:lineRule="exact"/>
        <w:ind w:left="0" w:right="0" w:firstLine="630" w:firstLineChars="196"/>
      </w:pPr>
      <w:r>
        <w:rPr>
          <w:rFonts w:ascii="楷体_GB2312" w:hAnsi="仿宋" w:eastAsia="楷体_GB2312" w:cs="楷体_GB2312"/>
          <w:b/>
          <w:kern w:val="2"/>
          <w:sz w:val="32"/>
          <w:szCs w:val="32"/>
        </w:rPr>
        <w:t>（一）一般公共预算拨款规模变化情况。</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default" w:ascii="仿宋_GB2312" w:hAnsi="仿宋" w:eastAsia="仿宋_GB2312" w:cs="仿宋_GB2312"/>
          <w:kern w:val="2"/>
          <w:sz w:val="32"/>
          <w:szCs w:val="32"/>
        </w:rPr>
        <w:t>宿州市总工会</w:t>
      </w:r>
      <w:r>
        <w:rPr>
          <w:rFonts w:hint="default" w:ascii="仿宋_GB2312" w:hAnsi="仿宋" w:eastAsia="仿宋_GB2312" w:cs="Times New Roman"/>
          <w:kern w:val="2"/>
          <w:sz w:val="32"/>
          <w:szCs w:val="32"/>
        </w:rPr>
        <w:t>2019年一般公共预算拨款</w:t>
      </w:r>
      <w:r>
        <w:rPr>
          <w:rFonts w:hint="default" w:ascii="仿宋_GB2312" w:hAnsi="仿宋" w:eastAsia="仿宋_GB2312" w:cs="宋体"/>
          <w:kern w:val="0"/>
          <w:sz w:val="32"/>
          <w:szCs w:val="32"/>
        </w:rPr>
        <w:t>348.59</w:t>
      </w:r>
      <w:r>
        <w:rPr>
          <w:rFonts w:hint="default" w:ascii="仿宋_GB2312" w:hAnsi="仿宋" w:eastAsia="仿宋_GB2312" w:cs="仿宋_GB2312"/>
          <w:kern w:val="2"/>
          <w:sz w:val="32"/>
          <w:szCs w:val="32"/>
        </w:rPr>
        <w:t>万元，比</w:t>
      </w:r>
      <w:r>
        <w:rPr>
          <w:rFonts w:hint="default" w:ascii="仿宋_GB2312" w:hAnsi="仿宋" w:eastAsia="仿宋_GB2312" w:cs="Times New Roman"/>
          <w:kern w:val="2"/>
          <w:sz w:val="32"/>
          <w:szCs w:val="32"/>
        </w:rPr>
        <w:t>2018年预算拨款增加88.32万元，增长33.93%，主要原因：一是增加一般公共服务支出55.83万元；二是增加社会保障和就业支出22.68万元；三是增加卫生健康支出9.89万元（2018年预算对应科目为“医疗卫生”）。</w:t>
      </w:r>
    </w:p>
    <w:p>
      <w:pPr>
        <w:pStyle w:val="2"/>
        <w:keepNext w:val="0"/>
        <w:keepLines w:val="0"/>
        <w:widowControl/>
        <w:suppressLineNumbers w:val="0"/>
        <w:adjustRightInd w:val="0"/>
        <w:snapToGrid w:val="0"/>
        <w:spacing w:before="0" w:beforeAutospacing="0" w:after="0" w:afterAutospacing="0" w:line="600" w:lineRule="exact"/>
        <w:ind w:left="0" w:right="0" w:firstLine="630" w:firstLineChars="196"/>
      </w:pPr>
      <w:r>
        <w:rPr>
          <w:rFonts w:hint="default" w:ascii="楷体_GB2312" w:hAnsi="仿宋" w:eastAsia="楷体_GB2312" w:cs="楷体_GB2312"/>
          <w:b/>
          <w:kern w:val="2"/>
          <w:sz w:val="32"/>
          <w:szCs w:val="32"/>
        </w:rPr>
        <w:t>（二）一般公共预算拨款结构情况。</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default" w:ascii="仿宋_GB2312" w:hAnsi="仿宋" w:eastAsia="仿宋_GB2312" w:cs="仿宋_GB2312"/>
          <w:kern w:val="2"/>
          <w:sz w:val="32"/>
          <w:szCs w:val="32"/>
        </w:rPr>
        <w:t>一般公共服务支出</w:t>
      </w:r>
      <w:r>
        <w:rPr>
          <w:rFonts w:hint="default" w:ascii="仿宋_GB2312" w:hAnsi="仿宋" w:eastAsia="仿宋_GB2312" w:cs="Times New Roman"/>
          <w:kern w:val="2"/>
          <w:sz w:val="32"/>
          <w:szCs w:val="32"/>
        </w:rPr>
        <w:t>208.17万元，占59.72%；社会保障和就业支出122.68万元，占35.19%；卫生健康支出15.66万元，占4.49%；住房保障支出2.08万元，占0.6%。</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rPr>
          <w:rFonts w:hint="default" w:ascii="楷体_GB2312" w:hAnsi="仿宋" w:eastAsia="楷体_GB2312" w:cs="楷体_GB2312"/>
          <w:b/>
          <w:kern w:val="2"/>
          <w:sz w:val="32"/>
          <w:szCs w:val="32"/>
          <w:lang w:val="en-US" w:eastAsia="zh-CN" w:bidi="ar"/>
        </w:rPr>
      </w:pP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楷体_GB2312" w:hAnsi="仿宋" w:eastAsia="楷体_GB2312" w:cs="楷体_GB2312"/>
          <w:b/>
          <w:kern w:val="2"/>
          <w:sz w:val="32"/>
          <w:szCs w:val="32"/>
          <w:lang w:val="en-US" w:eastAsia="zh-CN" w:bidi="ar"/>
        </w:rPr>
        <w:t>（三）一般公共预算拨款具体使用情况。</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仿宋" w:eastAsia="仿宋_GB2312" w:cs="仿宋_GB2312"/>
          <w:b/>
          <w:kern w:val="2"/>
          <w:sz w:val="32"/>
          <w:szCs w:val="32"/>
          <w:lang w:val="en-US" w:eastAsia="zh-CN" w:bidi="ar"/>
        </w:rPr>
        <w:t>1.</w:t>
      </w:r>
      <w:r>
        <w:rPr>
          <w:rFonts w:hint="eastAsia" w:ascii="仿宋_GB2312" w:hAnsi="仿宋" w:eastAsia="宋体" w:cs="宋体"/>
          <w:b/>
          <w:kern w:val="2"/>
          <w:sz w:val="21"/>
          <w:szCs w:val="21"/>
          <w:lang w:val="en-US" w:eastAsia="zh-CN" w:bidi="ar"/>
        </w:rPr>
        <w:t xml:space="preserve"> </w:t>
      </w:r>
      <w:r>
        <w:rPr>
          <w:rFonts w:hint="default" w:ascii="仿宋_GB2312" w:hAnsi="仿宋" w:eastAsia="仿宋_GB2312" w:cs="仿宋_GB2312"/>
          <w:b/>
          <w:kern w:val="2"/>
          <w:sz w:val="32"/>
          <w:szCs w:val="32"/>
          <w:lang w:val="en-US" w:eastAsia="zh-CN" w:bidi="ar"/>
        </w:rPr>
        <w:t>一般公共服务支出（类）群众团体事务（款）行政运行（项）</w:t>
      </w:r>
      <w:r>
        <w:rPr>
          <w:rFonts w:hint="default" w:ascii="仿宋_GB2312" w:hAnsi="仿宋" w:eastAsia="仿宋_GB2312" w:cs="仿宋_GB2312"/>
          <w:kern w:val="2"/>
          <w:sz w:val="32"/>
          <w:szCs w:val="32"/>
          <w:lang w:val="en-US" w:eastAsia="zh-CN" w:bidi="ar"/>
        </w:rPr>
        <w:t>2019年预算18.67万元，比2018年预算增加0.83万元，增长4.65%，增长原因主要是增加退休人员活动费等支出。</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仿宋" w:eastAsia="仿宋_GB2312" w:cs="仿宋_GB2312"/>
          <w:b/>
          <w:kern w:val="2"/>
          <w:sz w:val="32"/>
          <w:szCs w:val="32"/>
          <w:lang w:val="en-US" w:eastAsia="zh-CN" w:bidi="ar"/>
        </w:rPr>
        <w:t>2.一般公共服务支出（类）群众团体事务（款）其他群众团体事务支出（项）</w:t>
      </w:r>
      <w:r>
        <w:rPr>
          <w:rFonts w:hint="default" w:ascii="仿宋_GB2312" w:hAnsi="仿宋" w:eastAsia="仿宋_GB2312" w:cs="仿宋_GB2312"/>
          <w:kern w:val="2"/>
          <w:sz w:val="32"/>
          <w:szCs w:val="32"/>
          <w:lang w:val="en-US" w:eastAsia="zh-CN" w:bidi="ar"/>
        </w:rPr>
        <w:t>2019年预算189.5万元，比2018年预算增加60万元，增长46.33%，增长原因主要是增加困难劳模补助50万元、增加全市窗口行业创建全国文明城市工作活动经费5万元、厂务公开专项经费5万元调至“其他群众团体事务支出”。</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仿宋" w:eastAsia="仿宋_GB2312" w:cs="仿宋_GB2312"/>
          <w:b/>
          <w:kern w:val="2"/>
          <w:sz w:val="32"/>
          <w:szCs w:val="32"/>
          <w:lang w:val="en-US" w:eastAsia="zh-CN" w:bidi="ar"/>
        </w:rPr>
        <w:t>3.社会保障和就业支出（类）行政事业单位离退休（款）机关事业单位基本养老保险（项）</w:t>
      </w:r>
      <w:r>
        <w:rPr>
          <w:rFonts w:hint="default" w:ascii="仿宋_GB2312" w:hAnsi="仿宋" w:eastAsia="仿宋_GB2312" w:cs="仿宋_GB2312"/>
          <w:kern w:val="2"/>
          <w:sz w:val="32"/>
          <w:szCs w:val="32"/>
          <w:lang w:val="en-US" w:eastAsia="zh-CN" w:bidi="ar"/>
        </w:rPr>
        <w:t>2019年预算22.68万元，比2018年预算增加22.68万元，增长100%，增长原因主要是市总工会在职人员养老保险22.68万元纳入财政预算。</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4、</w:t>
      </w:r>
      <w:r>
        <w:rPr>
          <w:rFonts w:hint="default" w:ascii="仿宋_GB2312" w:hAnsi="仿宋" w:eastAsia="仿宋_GB2312" w:cs="仿宋_GB2312"/>
          <w:b/>
          <w:kern w:val="2"/>
          <w:sz w:val="32"/>
          <w:szCs w:val="32"/>
          <w:lang w:val="en-US" w:eastAsia="zh-CN" w:bidi="ar"/>
        </w:rPr>
        <w:t>社会保障和就业支出（类）其他社会保障和就业支出（款）其他社会保障和就业支出（项）</w:t>
      </w:r>
      <w:r>
        <w:rPr>
          <w:rFonts w:hint="default" w:ascii="仿宋_GB2312" w:hAnsi="仿宋" w:eastAsia="仿宋_GB2312" w:cs="仿宋_GB2312"/>
          <w:kern w:val="2"/>
          <w:sz w:val="32"/>
          <w:szCs w:val="32"/>
          <w:lang w:val="en-US" w:eastAsia="zh-CN" w:bidi="ar"/>
        </w:rPr>
        <w:t>2019年预算100万元，比2018年预算增加0万元，持平。</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5、</w:t>
      </w:r>
      <w:r>
        <w:rPr>
          <w:rFonts w:hint="default" w:ascii="仿宋_GB2312" w:hAnsi="仿宋" w:eastAsia="仿宋_GB2312" w:cs="仿宋_GB2312"/>
          <w:b/>
          <w:kern w:val="2"/>
          <w:sz w:val="32"/>
          <w:szCs w:val="32"/>
          <w:lang w:val="en-US" w:eastAsia="zh-CN" w:bidi="ar"/>
        </w:rPr>
        <w:t>卫生健康支出（类）行政事业单位医疗（款）行政单位医疗（项）</w:t>
      </w:r>
      <w:r>
        <w:rPr>
          <w:rFonts w:hint="default" w:ascii="仿宋_GB2312" w:hAnsi="仿宋" w:eastAsia="仿宋_GB2312" w:cs="仿宋_GB2312"/>
          <w:kern w:val="2"/>
          <w:sz w:val="32"/>
          <w:szCs w:val="32"/>
          <w:lang w:val="en-US" w:eastAsia="zh-CN" w:bidi="ar"/>
        </w:rPr>
        <w:t>2019年预算11.84万元，比2018年预算增加7.51万元，增长173.44%，增长原因主要是市总工会在职人员医疗保险6.81万元纳入财政预算。</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6、</w:t>
      </w:r>
      <w:r>
        <w:rPr>
          <w:rFonts w:hint="default" w:ascii="仿宋_GB2312" w:hAnsi="仿宋" w:eastAsia="仿宋_GB2312" w:cs="仿宋_GB2312"/>
          <w:b/>
          <w:kern w:val="2"/>
          <w:sz w:val="32"/>
          <w:szCs w:val="32"/>
          <w:lang w:val="en-US" w:eastAsia="zh-CN" w:bidi="ar"/>
        </w:rPr>
        <w:t>卫生健康支出（类）行政事业单位医疗（款）公务员医疗补助（项）</w:t>
      </w:r>
      <w:r>
        <w:rPr>
          <w:rFonts w:hint="default" w:ascii="仿宋_GB2312" w:hAnsi="仿宋" w:eastAsia="仿宋_GB2312" w:cs="仿宋_GB2312"/>
          <w:kern w:val="2"/>
          <w:sz w:val="32"/>
          <w:szCs w:val="32"/>
          <w:lang w:val="en-US" w:eastAsia="zh-CN" w:bidi="ar"/>
        </w:rPr>
        <w:t>2019年预算3.82万元，比2018年预算增加2.38万元，增长165.28%，增长原因主要是市总工会在职人员公务员医疗补助2.14万元纳入财政预算。</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7、</w:t>
      </w:r>
      <w:r>
        <w:rPr>
          <w:rFonts w:hint="default" w:ascii="仿宋_GB2312" w:hAnsi="仿宋" w:eastAsia="仿宋_GB2312" w:cs="仿宋_GB2312"/>
          <w:b/>
          <w:kern w:val="2"/>
          <w:sz w:val="32"/>
          <w:szCs w:val="32"/>
          <w:lang w:val="en-US" w:eastAsia="zh-CN" w:bidi="ar"/>
        </w:rPr>
        <w:t>住房保障支出（类）住房改革支出（款）提租补贴（项）</w:t>
      </w:r>
      <w:r>
        <w:rPr>
          <w:rFonts w:hint="default" w:ascii="仿宋_GB2312" w:hAnsi="仿宋" w:eastAsia="仿宋_GB2312" w:cs="仿宋_GB2312"/>
          <w:kern w:val="2"/>
          <w:sz w:val="32"/>
          <w:szCs w:val="32"/>
          <w:lang w:val="en-US" w:eastAsia="zh-CN" w:bidi="ar"/>
        </w:rPr>
        <w:t>2019年预算2.08万元，比2018年预算减少0.08万元，下降3.7%，，下降原因主要是因在职人员退休减少提租补贴支出。</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黑体" w:hAnsi="宋体" w:eastAsia="黑体" w:cs="黑体"/>
          <w:kern w:val="2"/>
          <w:sz w:val="32"/>
          <w:szCs w:val="32"/>
        </w:rPr>
        <w:t>三、关于</w:t>
      </w:r>
      <w:r>
        <w:rPr>
          <w:rFonts w:hint="eastAsia" w:ascii="黑体" w:hAnsi="仿宋" w:eastAsia="黑体" w:cs="Times New Roman"/>
          <w:kern w:val="2"/>
          <w:sz w:val="32"/>
          <w:szCs w:val="32"/>
        </w:rPr>
        <w:t>2019年一般公共预算基本支出情况说明</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default" w:ascii="仿宋_GB2312" w:hAnsi="仿宋" w:eastAsia="仿宋_GB2312" w:cs="仿宋_GB2312"/>
          <w:kern w:val="2"/>
          <w:sz w:val="32"/>
          <w:szCs w:val="32"/>
        </w:rPr>
        <w:t>宿州市总工会</w:t>
      </w:r>
      <w:r>
        <w:rPr>
          <w:rFonts w:hint="default" w:ascii="仿宋_GB2312" w:hAnsi="仿宋" w:eastAsia="仿宋_GB2312" w:cs="宋体"/>
          <w:kern w:val="0"/>
          <w:sz w:val="32"/>
          <w:szCs w:val="32"/>
        </w:rPr>
        <w:t>2019年一般公共预算基本支出59.09万元，其中：</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default" w:ascii="仿宋_GB2312" w:hAnsi="仿宋" w:eastAsia="仿宋_GB2312" w:cs="仿宋_GB2312"/>
          <w:kern w:val="0"/>
          <w:sz w:val="32"/>
          <w:szCs w:val="32"/>
        </w:rPr>
        <w:t>工资福利支出</w:t>
      </w:r>
      <w:r>
        <w:rPr>
          <w:rFonts w:hint="default" w:ascii="仿宋_GB2312" w:hAnsi="仿宋" w:eastAsia="仿宋_GB2312" w:cs="宋体"/>
          <w:kern w:val="0"/>
          <w:sz w:val="32"/>
          <w:szCs w:val="32"/>
        </w:rPr>
        <w:t>40.87万元，主要包括：津贴补贴、机关事业单位基本养老保险缴费、城镇职工基本医疗保险缴费、公务员医疗补助缴费、其他社会保障缴费。商品和服务支出16.52万元，主要包括：福利费、其他交通费。对个人和家庭的补助1.7万元，主要包括：退休费。</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黑体" w:hAnsi="宋体" w:eastAsia="黑体" w:cs="黑体"/>
          <w:kern w:val="0"/>
          <w:sz w:val="32"/>
          <w:szCs w:val="32"/>
        </w:rPr>
        <w:t>四、关于</w:t>
      </w:r>
      <w:r>
        <w:rPr>
          <w:rFonts w:hint="eastAsia" w:ascii="黑体" w:hAnsi="仿宋" w:eastAsia="黑体" w:cs="宋体"/>
          <w:kern w:val="0"/>
          <w:sz w:val="32"/>
          <w:szCs w:val="32"/>
        </w:rPr>
        <w:t>2019年政府性基金预算拨款情况说明</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default" w:ascii="仿宋_GB2312" w:hAnsi="仿宋" w:eastAsia="仿宋_GB2312" w:cs="仿宋_GB2312"/>
          <w:kern w:val="2"/>
          <w:sz w:val="32"/>
          <w:szCs w:val="32"/>
        </w:rPr>
        <w:t>宿州市总工会</w:t>
      </w:r>
      <w:r>
        <w:rPr>
          <w:rFonts w:hint="default" w:ascii="仿宋_GB2312" w:hAnsi="仿宋" w:eastAsia="仿宋_GB2312" w:cs="宋体"/>
          <w:kern w:val="0"/>
          <w:sz w:val="32"/>
          <w:szCs w:val="32"/>
        </w:rPr>
        <w:t>2019年没有政府性基金预算拨款收入，也没有使用政府性基金预算拨款安排的支出。</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黑体" w:hAnsi="宋体" w:eastAsia="黑体" w:cs="黑体"/>
          <w:kern w:val="0"/>
          <w:sz w:val="32"/>
          <w:szCs w:val="32"/>
        </w:rPr>
        <w:t>五、关于</w:t>
      </w:r>
      <w:r>
        <w:rPr>
          <w:rFonts w:hint="eastAsia" w:ascii="黑体" w:hAnsi="仿宋" w:eastAsia="黑体" w:cs="宋体"/>
          <w:kern w:val="0"/>
          <w:sz w:val="32"/>
          <w:szCs w:val="32"/>
        </w:rPr>
        <w:t>2019年国有资本经营预算拨款情况说明</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default" w:ascii="仿宋_GB2312" w:hAnsi="仿宋" w:eastAsia="仿宋_GB2312" w:cs="仿宋_GB2312"/>
          <w:kern w:val="2"/>
          <w:sz w:val="32"/>
          <w:szCs w:val="32"/>
        </w:rPr>
        <w:t>宿州市总工会</w:t>
      </w:r>
      <w:r>
        <w:rPr>
          <w:rFonts w:hint="default" w:ascii="仿宋_GB2312" w:hAnsi="仿宋" w:eastAsia="仿宋_GB2312" w:cs="宋体"/>
          <w:kern w:val="0"/>
          <w:sz w:val="32"/>
          <w:szCs w:val="32"/>
        </w:rPr>
        <w:t>2019年没有国有资本经营预算拨款收入，也没有使用国有资本经营预算拨款安排的支出。</w:t>
      </w:r>
    </w:p>
    <w:p>
      <w:pPr>
        <w:pStyle w:val="2"/>
        <w:keepNext w:val="0"/>
        <w:keepLines w:val="0"/>
        <w:widowControl/>
        <w:suppressLineNumbers w:val="0"/>
        <w:adjustRightInd w:val="0"/>
        <w:snapToGrid w:val="0"/>
        <w:spacing w:before="0" w:beforeAutospacing="0" w:after="0" w:afterAutospacing="0" w:line="600" w:lineRule="exact"/>
        <w:ind w:left="0" w:right="0" w:firstLine="640" w:firstLineChars="200"/>
      </w:pPr>
      <w:r>
        <w:rPr>
          <w:rFonts w:hint="eastAsia" w:ascii="黑体" w:hAnsi="宋体" w:eastAsia="黑体" w:cs="黑体"/>
          <w:kern w:val="0"/>
          <w:sz w:val="32"/>
          <w:szCs w:val="32"/>
        </w:rPr>
        <w:t>六、关于</w:t>
      </w:r>
      <w:r>
        <w:rPr>
          <w:rFonts w:hint="eastAsia" w:ascii="黑体" w:hAnsi="仿宋" w:eastAsia="黑体" w:cs="宋体"/>
          <w:kern w:val="0"/>
          <w:sz w:val="32"/>
          <w:szCs w:val="32"/>
        </w:rPr>
        <w:t>2019年收支预算总体情况说明</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jc w:val="both"/>
      </w:pPr>
      <w:r>
        <w:rPr>
          <w:rFonts w:hint="default" w:ascii="仿宋_GB2312" w:hAnsi="仿宋" w:eastAsia="仿宋_GB2312" w:cs="仿宋_GB2312"/>
          <w:kern w:val="0"/>
          <w:sz w:val="32"/>
          <w:szCs w:val="32"/>
        </w:rPr>
        <w:t>按照综合预算的原则，</w:t>
      </w:r>
      <w:r>
        <w:rPr>
          <w:rFonts w:hint="default" w:ascii="仿宋_GB2312" w:hAnsi="仿宋" w:eastAsia="仿宋_GB2312" w:cs="仿宋_GB2312"/>
          <w:kern w:val="2"/>
          <w:sz w:val="32"/>
          <w:szCs w:val="32"/>
        </w:rPr>
        <w:t>宿州市总工会</w:t>
      </w:r>
      <w:r>
        <w:rPr>
          <w:rFonts w:hint="default" w:ascii="仿宋_GB2312" w:hAnsi="仿宋" w:eastAsia="仿宋_GB2312" w:cs="仿宋_GB2312"/>
          <w:kern w:val="0"/>
          <w:sz w:val="32"/>
          <w:szCs w:val="32"/>
        </w:rPr>
        <w:t>所有收入和支出均纳入部门预算管理。</w:t>
      </w:r>
      <w:r>
        <w:rPr>
          <w:rFonts w:hint="default" w:ascii="仿宋_GB2312" w:hAnsi="仿宋" w:eastAsia="仿宋_GB2312" w:cs="仿宋_GB2312"/>
          <w:kern w:val="2"/>
          <w:sz w:val="32"/>
          <w:szCs w:val="32"/>
        </w:rPr>
        <w:t>宿州市总工会</w:t>
      </w:r>
      <w:r>
        <w:rPr>
          <w:rFonts w:hint="default" w:ascii="仿宋_GB2312" w:hAnsi="仿宋" w:eastAsia="仿宋_GB2312" w:cs="宋体"/>
          <w:kern w:val="0"/>
          <w:sz w:val="32"/>
          <w:szCs w:val="32"/>
        </w:rPr>
        <w:t>2019年收支总预算348.59万元，收入包括一般公共预算拨款收入，支出包括：一般公共服务支出、社会保障和就业支出、卫生健康支出、住房保障支出。</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eastAsia" w:ascii="黑体" w:hAnsi="宋体" w:eastAsia="黑体" w:cs="黑体"/>
          <w:kern w:val="0"/>
          <w:sz w:val="32"/>
          <w:szCs w:val="32"/>
        </w:rPr>
        <w:t>七、关于</w:t>
      </w:r>
      <w:r>
        <w:rPr>
          <w:rFonts w:hint="eastAsia" w:ascii="黑体" w:hAnsi="宋体" w:eastAsia="黑体" w:cs="宋体"/>
          <w:kern w:val="0"/>
          <w:sz w:val="32"/>
          <w:szCs w:val="32"/>
        </w:rPr>
        <w:t>2019年收入预算情况说明</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default" w:ascii="仿宋_GB2312" w:hAnsi="仿宋" w:eastAsia="仿宋_GB2312" w:cs="仿宋_GB2312"/>
          <w:kern w:val="0"/>
          <w:sz w:val="32"/>
          <w:szCs w:val="32"/>
        </w:rPr>
        <w:t>宿州市总工会</w:t>
      </w:r>
      <w:r>
        <w:rPr>
          <w:rFonts w:hint="default" w:ascii="仿宋_GB2312" w:hAnsi="仿宋" w:eastAsia="仿宋_GB2312" w:cs="宋体"/>
          <w:kern w:val="0"/>
          <w:sz w:val="32"/>
          <w:szCs w:val="32"/>
        </w:rPr>
        <w:t>2019年收入预算348.59万元，其中：一般公共预算拨款收入348.59万元，占100%，比2018年预算</w:t>
      </w:r>
      <w:r>
        <w:rPr>
          <w:rFonts w:hint="default" w:ascii="仿宋_GB2312" w:hAnsi="仿宋" w:eastAsia="仿宋_GB2312" w:cs="仿宋_GB2312"/>
          <w:kern w:val="2"/>
          <w:sz w:val="32"/>
          <w:szCs w:val="32"/>
        </w:rPr>
        <w:t>增加</w:t>
      </w:r>
      <w:r>
        <w:rPr>
          <w:rFonts w:hint="default" w:ascii="仿宋_GB2312" w:hAnsi="仿宋" w:eastAsia="仿宋_GB2312" w:cs="Times New Roman"/>
          <w:kern w:val="2"/>
          <w:sz w:val="32"/>
          <w:szCs w:val="32"/>
        </w:rPr>
        <w:t>88.32万元，增长33.93%</w:t>
      </w:r>
      <w:r>
        <w:rPr>
          <w:rFonts w:hint="default" w:ascii="仿宋_GB2312" w:hAnsi="仿宋" w:eastAsia="仿宋_GB2312" w:cs="仿宋_GB2312"/>
          <w:kern w:val="0"/>
          <w:sz w:val="32"/>
          <w:szCs w:val="32"/>
        </w:rPr>
        <w:t>，增长原因主要是：</w:t>
      </w:r>
      <w:r>
        <w:rPr>
          <w:rFonts w:hint="default" w:ascii="仿宋_GB2312" w:hAnsi="仿宋" w:eastAsia="仿宋_GB2312" w:cs="仿宋_GB2312"/>
          <w:kern w:val="2"/>
          <w:sz w:val="32"/>
          <w:szCs w:val="32"/>
        </w:rPr>
        <w:t>一是增加一般公共服务支出</w:t>
      </w:r>
      <w:r>
        <w:rPr>
          <w:rFonts w:hint="default" w:ascii="仿宋_GB2312" w:hAnsi="仿宋" w:eastAsia="仿宋_GB2312" w:cs="Times New Roman"/>
          <w:kern w:val="2"/>
          <w:sz w:val="32"/>
          <w:szCs w:val="32"/>
        </w:rPr>
        <w:t>55.83万元；二是增加社会保障和就业支出22.68万元；三是增加卫生健康支出9.89万元（2018年预算对应科目为“医疗卫生”）。</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黑体" w:hAnsi="宋体" w:eastAsia="黑体" w:cs="黑体"/>
          <w:kern w:val="2"/>
          <w:sz w:val="32"/>
          <w:szCs w:val="32"/>
          <w:lang w:val="en-US" w:eastAsia="zh-CN" w:bidi="ar"/>
        </w:rPr>
        <w:t>八、关于2019年支出预算情况说明</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default" w:ascii="仿宋_GB2312" w:hAnsi="仿宋" w:eastAsia="仿宋_GB2312" w:cs="仿宋_GB2312"/>
          <w:kern w:val="0"/>
          <w:sz w:val="32"/>
          <w:szCs w:val="32"/>
        </w:rPr>
        <w:t>宿州市总工会</w:t>
      </w:r>
      <w:r>
        <w:rPr>
          <w:rFonts w:hint="default" w:ascii="仿宋_GB2312" w:hAnsi="仿宋" w:eastAsia="仿宋_GB2312" w:cs="宋体"/>
          <w:kern w:val="0"/>
          <w:sz w:val="32"/>
          <w:szCs w:val="32"/>
        </w:rPr>
        <w:t>2019年支出预算348.59万元，比2018年预算</w:t>
      </w:r>
      <w:r>
        <w:rPr>
          <w:rFonts w:hint="default" w:ascii="仿宋_GB2312" w:hAnsi="仿宋" w:eastAsia="仿宋_GB2312" w:cs="仿宋_GB2312"/>
          <w:kern w:val="2"/>
          <w:sz w:val="32"/>
          <w:szCs w:val="32"/>
        </w:rPr>
        <w:t>增加</w:t>
      </w:r>
      <w:r>
        <w:rPr>
          <w:rFonts w:hint="default" w:ascii="仿宋_GB2312" w:hAnsi="仿宋" w:eastAsia="仿宋_GB2312" w:cs="Times New Roman"/>
          <w:kern w:val="2"/>
          <w:sz w:val="32"/>
          <w:szCs w:val="32"/>
        </w:rPr>
        <w:t>88.32万元，增长33.93%</w:t>
      </w:r>
      <w:r>
        <w:rPr>
          <w:rFonts w:hint="default" w:ascii="仿宋_GB2312" w:hAnsi="仿宋" w:eastAsia="仿宋_GB2312" w:cs="仿宋_GB2312"/>
          <w:kern w:val="0"/>
          <w:sz w:val="32"/>
          <w:szCs w:val="32"/>
        </w:rPr>
        <w:t>，增长原因主要是：</w:t>
      </w:r>
      <w:r>
        <w:rPr>
          <w:rFonts w:hint="default" w:ascii="仿宋_GB2312" w:hAnsi="仿宋" w:eastAsia="仿宋_GB2312" w:cs="仿宋_GB2312"/>
          <w:kern w:val="2"/>
          <w:sz w:val="32"/>
          <w:szCs w:val="32"/>
        </w:rPr>
        <w:t>一是增加一般公共服务支出</w:t>
      </w:r>
      <w:r>
        <w:rPr>
          <w:rFonts w:hint="default" w:ascii="仿宋_GB2312" w:hAnsi="仿宋" w:eastAsia="仿宋_GB2312" w:cs="Times New Roman"/>
          <w:kern w:val="2"/>
          <w:sz w:val="32"/>
          <w:szCs w:val="32"/>
        </w:rPr>
        <w:t>55.83万元；二是增加社会保障和就业支出22.68万元；三是增加卫生健康支出9.89万元（2018年预算对应科目为“医疗卫生”）</w:t>
      </w:r>
      <w:r>
        <w:rPr>
          <w:rFonts w:hint="default" w:ascii="仿宋_GB2312" w:hAnsi="仿宋" w:eastAsia="仿宋_GB2312" w:cs="仿宋_GB2312"/>
          <w:kern w:val="0"/>
          <w:sz w:val="32"/>
          <w:szCs w:val="32"/>
        </w:rPr>
        <w:t>。其中，基本支出</w:t>
      </w:r>
      <w:r>
        <w:rPr>
          <w:rFonts w:hint="default" w:ascii="仿宋_GB2312" w:hAnsi="仿宋" w:eastAsia="仿宋_GB2312" w:cs="宋体"/>
          <w:kern w:val="0"/>
          <w:sz w:val="32"/>
          <w:szCs w:val="32"/>
        </w:rPr>
        <w:t>59.09万元，占16.95%，主要用于机关事业单位基本养老保险缴费、行政事业单位医疗、公务交通补贴支出等；项目支出289.5万元，占83.05%，主要用于厂务公开、市级劳模慰问金、职工书屋专项经费、劳动竞赛专项经费、职工服务信息化建设工作经费、送温暖资金、全市窗口行业创建全国文明城市工作活动经费、困难劳模补助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黑体" w:hAnsi="宋体" w:eastAsia="黑体" w:cs="黑体"/>
          <w:kern w:val="2"/>
          <w:sz w:val="32"/>
          <w:szCs w:val="32"/>
          <w:lang w:val="en-US" w:eastAsia="zh-CN" w:bidi="ar"/>
        </w:rPr>
        <w:t>九、其他重要事项情况说明</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楷体" w:eastAsia="仿宋_GB2312" w:cs="仿宋_GB2312"/>
          <w:b/>
          <w:kern w:val="2"/>
          <w:sz w:val="32"/>
          <w:szCs w:val="32"/>
          <w:lang w:val="en-US" w:eastAsia="zh-CN" w:bidi="ar"/>
        </w:rPr>
        <w:t>（一）项目及绩效目标情况。</w:t>
      </w:r>
    </w:p>
    <w:p>
      <w:pPr>
        <w:keepNext w:val="0"/>
        <w:keepLines w:val="0"/>
        <w:widowControl/>
        <w:suppressLineNumbers w:val="0"/>
        <w:adjustRightInd w:val="0"/>
        <w:snapToGrid w:val="0"/>
        <w:spacing w:before="0" w:beforeAutospacing="1" w:after="0" w:afterAutospacing="1" w:line="600" w:lineRule="exact"/>
        <w:ind w:left="0" w:right="0" w:firstLine="803" w:firstLineChars="250"/>
        <w:jc w:val="left"/>
      </w:pPr>
      <w:r>
        <w:rPr>
          <w:rFonts w:hint="default" w:ascii="仿宋_GB2312" w:hAnsi="楷体" w:eastAsia="仿宋_GB2312" w:cs="仿宋_GB2312"/>
          <w:b/>
          <w:kern w:val="2"/>
          <w:sz w:val="32"/>
          <w:szCs w:val="32"/>
          <w:lang w:val="en-US" w:eastAsia="zh-CN" w:bidi="ar"/>
        </w:rPr>
        <w:t>1.“送温暖资金”项目。</w:t>
      </w:r>
    </w:p>
    <w:p>
      <w:pPr>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right="0" w:firstLine="640" w:firstLineChars="200"/>
        <w:jc w:val="left"/>
        <w:textAlignment w:val="auto"/>
      </w:pPr>
      <w:r>
        <w:rPr>
          <w:rFonts w:hint="default" w:ascii="仿宋_GB2312" w:hAnsi="楷体" w:eastAsia="仿宋_GB2312" w:cs="仿宋_GB2312"/>
          <w:kern w:val="2"/>
          <w:sz w:val="32"/>
          <w:szCs w:val="32"/>
          <w:lang w:val="en-US" w:eastAsia="zh-CN" w:bidi="ar"/>
        </w:rPr>
        <w:t>（1）</w:t>
      </w:r>
      <w:r>
        <w:rPr>
          <w:rFonts w:ascii="方正仿宋_GBK" w:hAnsi="方正仿宋_GBK" w:eastAsia="方正仿宋_GBK" w:cs="方正仿宋_GBK"/>
          <w:kern w:val="2"/>
          <w:sz w:val="32"/>
          <w:szCs w:val="32"/>
          <w:lang w:val="en-US" w:eastAsia="zh-CN" w:bidi="ar"/>
        </w:rPr>
        <w:t>项目概述。宿州市总工会送温暖资金</w:t>
      </w:r>
      <w:r>
        <w:rPr>
          <w:rFonts w:hint="eastAsia" w:ascii="方正仿宋_GBK" w:hAnsi="方正仿宋_GBK" w:eastAsia="方正仿宋_GBK" w:cs="方正仿宋_GBK"/>
          <w:kern w:val="2"/>
          <w:sz w:val="32"/>
          <w:szCs w:val="32"/>
          <w:lang w:val="en-US" w:eastAsia="zh-CN" w:bidi="ar"/>
        </w:rPr>
        <w:t>100万元。</w:t>
      </w:r>
    </w:p>
    <w:p>
      <w:pPr>
        <w:keepNext w:val="0"/>
        <w:keepLines w:val="0"/>
        <w:pageBreakBefore w:val="0"/>
        <w:widowControl/>
        <w:suppressLineNumbers w:val="0"/>
        <w:kinsoku/>
        <w:wordWrap/>
        <w:overflowPunct/>
        <w:topLinePunct w:val="0"/>
        <w:autoSpaceDE/>
        <w:autoSpaceDN/>
        <w:bidi w:val="0"/>
        <w:spacing w:before="0" w:beforeAutospacing="1" w:after="0" w:afterAutospacing="1" w:line="500" w:lineRule="exact"/>
        <w:ind w:left="0" w:right="0" w:firstLine="585" w:firstLineChars="183"/>
        <w:jc w:val="left"/>
        <w:textAlignment w:val="auto"/>
      </w:pPr>
      <w:r>
        <w:rPr>
          <w:rFonts w:hint="eastAsia" w:ascii="方正仿宋_GBK" w:hAnsi="方正仿宋_GBK" w:eastAsia="方正仿宋_GBK" w:cs="方正仿宋_GBK"/>
          <w:kern w:val="2"/>
          <w:sz w:val="32"/>
          <w:szCs w:val="32"/>
          <w:lang w:val="en-US" w:eastAsia="zh-CN" w:bidi="ar"/>
        </w:rPr>
        <w:t>（2）立项依据。市政府与市总工会第十三次联席会议研究同意拨付。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1" w:after="0" w:afterAutospacing="1" w:line="500" w:lineRule="exact"/>
        <w:ind w:left="0" w:right="0" w:firstLine="640" w:firstLineChars="200"/>
        <w:jc w:val="left"/>
        <w:textAlignment w:val="auto"/>
      </w:pPr>
      <w:r>
        <w:rPr>
          <w:rFonts w:hint="eastAsia" w:ascii="方正仿宋_GBK" w:hAnsi="方正仿宋_GBK" w:eastAsia="方正仿宋_GBK" w:cs="方正仿宋_GBK"/>
          <w:kern w:val="2"/>
          <w:sz w:val="32"/>
          <w:szCs w:val="32"/>
          <w:lang w:val="en-US" w:eastAsia="zh-CN" w:bidi="ar"/>
        </w:rPr>
        <w:t>（3）起止时间。长期。</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4）项目内容。1：救助下岗失业、关停并转等困难企业中，因停发、减发工资家庭收入水平明显偏低、子女教育费用负担过重、等原因家庭生活困难的职工（农民工）；2：慰问工伤与职业病致残的职工和因公牺牲职工的家属；因重大疾病手术、住院的职工（农民工）；3：救助本人或家庭成员因患大病、遭受各类灾害或突发意外等情况造成生活困难的职工；4：慰问长期在高（低）温、高空、有毒有害等环境中和苦脏累险艰苦行业岗位上工作的一线职工（农民工）；重大灾害期间坚守抗灾一线的职工；春节期间坚守在生产一线和交通运输、电力、环卫以及直接面向群众服务的基层岗位干部职工；因组织需要长期异地工作或者服从组织需要赴外地、基层工作的派驻挂职干部职工；在重大项目和重大工程中做出突出贡献的职工；生产一线涌现出来的先进模范人物；5：慰问符合有关政策规定的慰问对象，包括市委市政府研究决定或社会捐赠方指定的送温暖对象，经各市总工会党组会或主席办公会集体研究决定的特殊送温暖对象。</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（5）年度预算安排。根据送温暖工作需要，及基层工会所申报的职工需求确定救助对象，并按照项目五项内容分阶段安排送温暖资金进行支出。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（6）绩效目标和指标。</w:t>
      </w:r>
    </w:p>
    <w:tbl>
      <w:tblPr>
        <w:tblStyle w:val="3"/>
        <w:tblW w:w="10712" w:type="dxa"/>
        <w:tblInd w:w="-9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4"/>
        <w:gridCol w:w="1023"/>
        <w:gridCol w:w="1268"/>
        <w:gridCol w:w="1582"/>
        <w:gridCol w:w="1418"/>
        <w:gridCol w:w="1551"/>
        <w:gridCol w:w="960"/>
        <w:gridCol w:w="735"/>
        <w:gridCol w:w="1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 w:hRule="atLeast"/>
        </w:trPr>
        <w:tc>
          <w:tcPr>
            <w:tcW w:w="10712"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32"/>
                <w:szCs w:val="32"/>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0712"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w:t>
            </w:r>
            <w:r>
              <w:rPr>
                <w:rFonts w:hint="default" w:ascii="Times New Roman" w:hAnsi="Times New Roman" w:cs="Times New Roman" w:eastAsiaTheme="minorEastAsia"/>
                <w:i w:val="0"/>
                <w:color w:val="000000"/>
                <w:kern w:val="0"/>
                <w:sz w:val="24"/>
                <w:szCs w:val="24"/>
                <w:lang w:val="en-US" w:eastAsia="zh-CN" w:bidi="ar"/>
              </w:rPr>
              <w:t xml:space="preserve">     2019     </w:t>
            </w:r>
            <w:r>
              <w:rPr>
                <w:rFonts w:hint="eastAsia" w:ascii="宋体" w:hAnsi="宋体" w:eastAsia="宋体" w:cs="宋体"/>
                <w:i w:val="0"/>
                <w:color w:val="000000"/>
                <w:kern w:val="0"/>
                <w:sz w:val="24"/>
                <w:szCs w:val="2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 w:hRule="atLeast"/>
        </w:trPr>
        <w:tc>
          <w:tcPr>
            <w:tcW w:w="954"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023"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268"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582"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418"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551"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960"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735"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221"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 w:hRule="atLeast"/>
        </w:trPr>
        <w:tc>
          <w:tcPr>
            <w:tcW w:w="324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项目名称</w:t>
            </w:r>
          </w:p>
        </w:tc>
        <w:tc>
          <w:tcPr>
            <w:tcW w:w="74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送温暖资金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 w:hRule="atLeast"/>
        </w:trPr>
        <w:tc>
          <w:tcPr>
            <w:tcW w:w="324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实施单位</w:t>
            </w:r>
          </w:p>
        </w:tc>
        <w:tc>
          <w:tcPr>
            <w:tcW w:w="74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宿州市总工会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 w:hRule="atLeast"/>
        </w:trPr>
        <w:tc>
          <w:tcPr>
            <w:tcW w:w="3245"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项目属性</w:t>
            </w:r>
          </w:p>
        </w:tc>
        <w:tc>
          <w:tcPr>
            <w:tcW w:w="3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延续</w:t>
            </w:r>
          </w:p>
        </w:tc>
        <w:tc>
          <w:tcPr>
            <w:tcW w:w="2511"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项目期</w:t>
            </w:r>
          </w:p>
        </w:tc>
        <w:tc>
          <w:tcPr>
            <w:tcW w:w="195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 w:hRule="atLeast"/>
        </w:trPr>
        <w:tc>
          <w:tcPr>
            <w:tcW w:w="3245"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（万元）</w:t>
            </w:r>
          </w:p>
        </w:tc>
        <w:tc>
          <w:tcPr>
            <w:tcW w:w="15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中期资金总额：</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1"/>
                <w:szCs w:val="21"/>
                <w:lang w:val="en-US" w:eastAsia="zh-CN" w:bidi="ar"/>
              </w:rPr>
              <w:t>300万元</w:t>
            </w:r>
          </w:p>
        </w:tc>
        <w:tc>
          <w:tcPr>
            <w:tcW w:w="2511"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年度资金总额：</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1"/>
                <w:szCs w:val="21"/>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 w:hRule="atLeast"/>
        </w:trPr>
        <w:tc>
          <w:tcPr>
            <w:tcW w:w="324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5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 xml:space="preserve">       其中：财政拨款</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1"/>
                <w:szCs w:val="21"/>
                <w:lang w:val="en-US" w:eastAsia="zh-CN" w:bidi="ar"/>
              </w:rPr>
              <w:t>300万元</w:t>
            </w:r>
          </w:p>
        </w:tc>
        <w:tc>
          <w:tcPr>
            <w:tcW w:w="2511"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其中：财政拨款</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1"/>
                <w:szCs w:val="21"/>
                <w:lang w:val="en-US" w:eastAsia="zh-CN" w:bidi="ar"/>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 w:hRule="atLeast"/>
        </w:trPr>
        <w:tc>
          <w:tcPr>
            <w:tcW w:w="3245"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5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 xml:space="preserve">      </w:t>
            </w:r>
            <w:r>
              <w:rPr>
                <w:rFonts w:hint="eastAsia" w:ascii="宋体" w:hAnsi="宋体" w:eastAsia="宋体" w:cs="宋体"/>
                <w:i w:val="0"/>
                <w:color w:val="000000"/>
                <w:kern w:val="0"/>
                <w:sz w:val="20"/>
                <w:szCs w:val="20"/>
                <w:lang w:val="en-US" w:eastAsia="zh-CN" w:bidi="ar"/>
              </w:rPr>
              <w:t xml:space="preserve">       其他资金</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2511"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i w:val="0"/>
                <w:color w:val="000000"/>
                <w:kern w:val="0"/>
                <w:sz w:val="24"/>
                <w:szCs w:val="24"/>
                <w:lang w:val="en-US" w:eastAsia="zh-CN" w:bidi="ar"/>
              </w:rPr>
              <w:t xml:space="preserve"> 其他资金</w:t>
            </w:r>
          </w:p>
        </w:tc>
        <w:tc>
          <w:tcPr>
            <w:tcW w:w="19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 w:hRule="atLeast"/>
        </w:trPr>
        <w:tc>
          <w:tcPr>
            <w:tcW w:w="95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总</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体</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目</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标</w:t>
            </w:r>
          </w:p>
        </w:tc>
        <w:tc>
          <w:tcPr>
            <w:tcW w:w="5291"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中期目标（2019年—2021年）</w:t>
            </w:r>
          </w:p>
        </w:tc>
        <w:tc>
          <w:tcPr>
            <w:tcW w:w="446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337" w:hRule="atLeast"/>
        </w:trPr>
        <w:tc>
          <w:tcPr>
            <w:tcW w:w="954"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291"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left"/>
              <w:textAlignment w:val="top"/>
              <w:rPr>
                <w:rFonts w:hint="eastAsia" w:ascii="宋体" w:hAnsi="宋体" w:eastAsia="宋体" w:cs="宋体"/>
                <w:color w:val="000000"/>
                <w:kern w:val="0"/>
                <w:sz w:val="20"/>
                <w:szCs w:val="20"/>
                <w:lang w:val="en-US" w:eastAsia="zh-CN" w:bidi="ar"/>
              </w:rPr>
            </w:pPr>
          </w:p>
          <w:p>
            <w:pPr>
              <w:keepNext w:val="0"/>
              <w:keepLines w:val="0"/>
              <w:widowControl/>
              <w:suppressLineNumbers w:val="0"/>
              <w:spacing w:before="0" w:beforeAutospacing="1" w:after="0" w:afterAutospacing="1"/>
              <w:ind w:left="0" w:right="0"/>
              <w:jc w:val="left"/>
              <w:textAlignment w:val="top"/>
              <w:rPr>
                <w:rFonts w:hint="eastAsia" w:ascii="宋体" w:hAnsi="宋体" w:eastAsia="宋体" w:cs="宋体"/>
                <w:i w:val="0"/>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w:t>
            </w:r>
            <w:r>
              <w:rPr>
                <w:rFonts w:hint="eastAsia" w:ascii="宋体" w:hAnsi="宋体" w:eastAsia="宋体" w:cs="宋体"/>
                <w:b/>
                <w:i w:val="0"/>
                <w:color w:val="000000"/>
                <w:kern w:val="0"/>
                <w:sz w:val="20"/>
                <w:szCs w:val="20"/>
                <w:lang w:val="en-US" w:eastAsia="zh-CN" w:bidi="ar"/>
              </w:rPr>
              <w:t>2019年-2021年中期总体目标：</w:t>
            </w:r>
            <w:r>
              <w:rPr>
                <w:rFonts w:hint="eastAsia" w:ascii="宋体" w:hAnsi="宋体" w:eastAsia="宋体" w:cs="宋体"/>
                <w:i w:val="0"/>
                <w:color w:val="000000"/>
                <w:kern w:val="0"/>
                <w:sz w:val="20"/>
                <w:szCs w:val="20"/>
                <w:lang w:val="en-US" w:eastAsia="zh-CN" w:bidi="ar"/>
              </w:rPr>
              <w:t>在全社会营造关爱困难职工,营造扶贫济困的良好氛围， 维护职工合法权益、竭诚服务职工群众，及时将慰问金发放到困难职工手中，让困难职工及时感受到市委、市政府的关心和关怀，让困难职工感受鼓舞和温暖，营造良好的社会氛围。</w:t>
            </w:r>
          </w:p>
          <w:p>
            <w:pPr>
              <w:keepNext w:val="0"/>
              <w:keepLines w:val="0"/>
              <w:widowControl/>
              <w:suppressLineNumbers w:val="0"/>
              <w:spacing w:before="0" w:beforeAutospacing="1" w:after="0" w:afterAutospacing="1"/>
              <w:ind w:left="0" w:right="0"/>
              <w:jc w:val="left"/>
              <w:textAlignment w:val="top"/>
            </w:pPr>
            <w:r>
              <w:rPr>
                <w:rFonts w:hint="eastAsia" w:ascii="宋体" w:hAnsi="宋体" w:eastAsia="宋体" w:cs="宋体"/>
                <w:i w:val="0"/>
                <w:color w:val="000000"/>
                <w:kern w:val="0"/>
                <w:sz w:val="20"/>
                <w:szCs w:val="20"/>
                <w:lang w:val="en-US" w:eastAsia="zh-CN" w:bidi="ar"/>
              </w:rPr>
              <w:t xml:space="preserve">   </w:t>
            </w:r>
            <w:r>
              <w:rPr>
                <w:rFonts w:hint="eastAsia" w:ascii="宋体" w:hAnsi="宋体" w:eastAsia="宋体" w:cs="宋体"/>
                <w:b/>
                <w:i w:val="0"/>
                <w:color w:val="000000"/>
                <w:kern w:val="0"/>
                <w:sz w:val="20"/>
                <w:szCs w:val="20"/>
                <w:lang w:val="en-US" w:eastAsia="zh-CN" w:bidi="ar"/>
              </w:rPr>
              <w:t>资金使用范围：</w:t>
            </w:r>
            <w:r>
              <w:rPr>
                <w:rFonts w:hint="eastAsia" w:ascii="宋体" w:hAnsi="宋体" w:eastAsia="宋体" w:cs="宋体"/>
                <w:i w:val="0"/>
                <w:color w:val="000000"/>
                <w:kern w:val="0"/>
                <w:sz w:val="20"/>
                <w:szCs w:val="20"/>
                <w:lang w:val="en-US" w:eastAsia="zh-CN" w:bidi="ar"/>
              </w:rPr>
              <w:t>1、救助下岗失业、关停并转等困难企业中，因停发、减发工资家庭收入水平明显偏低、子女教育费用负担过重、等原因家庭生活困难的职工（农民工）。2、慰问工伤与职业病致残的职工和因公牺牲职工的家属；因重大疾病手术、住院的职工（农民工）。3、救助本人或家庭成员因患大病、遭受各类灾害或突发意外等情况造成生活困难的职工。4、慰问长期在高（低）温、高空、有毒有害等环境中和苦脏累险艰苦行业岗位上工作的一线职工（农民工）；重大灾害期间坚守抗灾一线的职工；春节期间坚守在生产一线和交通运输、电力、环卫以及直接面向群众服务的基层岗位干部职工；因组织需要长期异地工作或者服从组织需要赴外地、基层工作的派驻挂职干部职工；在重大项目和重大工程中做出突出贡献的职工；生产一线涌现出来的先进模范人物。5、慰问符合有关政策规定的慰问对象，包括市委市政府研究决定或社会捐赠方指定的送温暖对象，经各市总工会党组会或主席办公会集体研究决定的特殊送温暖对象。</w:t>
            </w:r>
          </w:p>
        </w:tc>
        <w:tc>
          <w:tcPr>
            <w:tcW w:w="4467"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left"/>
              <w:textAlignment w:val="top"/>
              <w:rPr>
                <w:rFonts w:hint="eastAsia" w:ascii="宋体" w:hAnsi="宋体" w:eastAsia="宋体" w:cs="宋体"/>
                <w:i w:val="0"/>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w:t>
            </w:r>
            <w:r>
              <w:rPr>
                <w:rFonts w:hint="eastAsia" w:ascii="宋体" w:hAnsi="宋体" w:eastAsia="宋体" w:cs="宋体"/>
                <w:b/>
                <w:i w:val="0"/>
                <w:color w:val="000000"/>
                <w:kern w:val="0"/>
                <w:sz w:val="20"/>
                <w:szCs w:val="20"/>
                <w:lang w:val="en-US" w:eastAsia="zh-CN" w:bidi="ar"/>
              </w:rPr>
              <w:t>2019年度总体目标：</w:t>
            </w:r>
            <w:r>
              <w:rPr>
                <w:rFonts w:hint="eastAsia" w:ascii="宋体" w:hAnsi="宋体" w:eastAsia="宋体" w:cs="宋体"/>
                <w:i w:val="0"/>
                <w:color w:val="000000"/>
                <w:kern w:val="0"/>
                <w:sz w:val="20"/>
                <w:szCs w:val="20"/>
                <w:lang w:val="en-US" w:eastAsia="zh-CN" w:bidi="ar"/>
              </w:rPr>
              <w:t>通过持续开展送温暖工作，切实把党和政府的温暖送到困难职工心坎上，密切党和职工群众血肉联系；根据困难职工家庭的不同情况，实施分类帮扶送温暖，帮助他们解决实际困难和问题；实现工会送温暖工作常态化、长效化，促进社会和谐稳定。</w:t>
            </w:r>
          </w:p>
          <w:p>
            <w:pPr>
              <w:keepNext w:val="0"/>
              <w:keepLines w:val="0"/>
              <w:widowControl/>
              <w:suppressLineNumbers w:val="0"/>
              <w:spacing w:before="0" w:beforeAutospacing="1" w:after="0" w:afterAutospacing="1"/>
              <w:ind w:left="0" w:right="0"/>
              <w:jc w:val="left"/>
              <w:textAlignment w:val="top"/>
            </w:pPr>
            <w:r>
              <w:rPr>
                <w:rFonts w:hint="eastAsia" w:ascii="宋体" w:hAnsi="宋体" w:eastAsia="宋体" w:cs="宋体"/>
                <w:i w:val="0"/>
                <w:color w:val="000000"/>
                <w:kern w:val="0"/>
                <w:sz w:val="20"/>
                <w:szCs w:val="20"/>
                <w:lang w:val="en-US" w:eastAsia="zh-CN" w:bidi="ar"/>
              </w:rPr>
              <w:t xml:space="preserve">    </w:t>
            </w:r>
            <w:r>
              <w:rPr>
                <w:rFonts w:hint="eastAsia" w:ascii="宋体" w:hAnsi="宋体" w:eastAsia="宋体" w:cs="宋体"/>
                <w:b/>
                <w:i w:val="0"/>
                <w:color w:val="000000"/>
                <w:kern w:val="0"/>
                <w:sz w:val="20"/>
                <w:szCs w:val="20"/>
                <w:lang w:val="en-US" w:eastAsia="zh-CN" w:bidi="ar"/>
              </w:rPr>
              <w:t xml:space="preserve"> 资金使用范围：</w:t>
            </w:r>
            <w:r>
              <w:rPr>
                <w:rFonts w:hint="eastAsia" w:ascii="宋体" w:hAnsi="宋体" w:eastAsia="宋体" w:cs="宋体"/>
                <w:i w:val="0"/>
                <w:color w:val="000000"/>
                <w:kern w:val="0"/>
                <w:sz w:val="20"/>
                <w:szCs w:val="20"/>
                <w:lang w:val="en-US" w:eastAsia="zh-CN" w:bidi="ar"/>
              </w:rPr>
              <w:t>1、救助下岗失业、关停并转等困难企业中，因停发、减发工资家庭收入水平明显偏低、子女教育费用负担过重、等原因家庭生活困难的职工（农民工）。2、慰问工伤与职业病致残的职工和因公牺牲职工的家属；因重大疾病手术、住院的职工（农民工）。3、救助本人或家庭成员因患大病、遭受各类灾害或突发意外等情况造成生活困难的职工。4、慰问长期在高（低）温、高空、有毒有害等环境中和苦脏累险艰苦行业岗位上工作的一线职工（农民工）；重大灾害期间坚守抗灾一线的职工；春节期间坚守在生产一线和交通运输、电力、环卫以及直接面向群众服务的基层岗位干部职工；因组织需要长期异地工作或者服从组织需要赴外地、基层工作的派驻挂职干部职工；在重大项目和重大工程中做出突出贡献的职工；生产一线涌现出来的先进模范人物。5、慰问符合有关政策规定的慰问对象，包括市委市政府研究决定或社会捐赠方指定的送温暖对象，经各市总工会党组会或主席办公会集体研究决定的特殊送温暖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 w:hRule="atLeast"/>
        </w:trPr>
        <w:tc>
          <w:tcPr>
            <w:tcW w:w="95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绩</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效</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标</w:t>
            </w:r>
          </w:p>
        </w:tc>
        <w:tc>
          <w:tcPr>
            <w:tcW w:w="10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一级</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lang w:val="en-US" w:eastAsia="zh-CN" w:bidi="ar"/>
              </w:rPr>
              <w:t>指标</w:t>
            </w:r>
          </w:p>
        </w:tc>
        <w:tc>
          <w:tcPr>
            <w:tcW w:w="12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二级指标</w:t>
            </w:r>
          </w:p>
        </w:tc>
        <w:tc>
          <w:tcPr>
            <w:tcW w:w="15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三级指标</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指标值</w:t>
            </w:r>
          </w:p>
        </w:tc>
        <w:tc>
          <w:tcPr>
            <w:tcW w:w="15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二级指标</w:t>
            </w:r>
          </w:p>
        </w:tc>
        <w:tc>
          <w:tcPr>
            <w:tcW w:w="16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三级指标</w:t>
            </w:r>
          </w:p>
        </w:tc>
        <w:tc>
          <w:tcPr>
            <w:tcW w:w="12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954"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0"/>
                <w:szCs w:val="20"/>
                <w:lang w:val="en-US" w:eastAsia="zh-CN" w:bidi="ar"/>
              </w:rPr>
              <w:t>效益指标</w:t>
            </w:r>
          </w:p>
        </w:tc>
        <w:tc>
          <w:tcPr>
            <w:tcW w:w="12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lang w:val="en-US" w:eastAsia="zh-CN" w:bidi="ar"/>
              </w:rPr>
              <w:t>指标</w:t>
            </w:r>
          </w:p>
        </w:tc>
        <w:tc>
          <w:tcPr>
            <w:tcW w:w="15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救助困难职工</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根据送温暖工作需要，及基层工会所申报的职工需求确定救助对象</w:t>
            </w:r>
          </w:p>
        </w:tc>
        <w:tc>
          <w:tcPr>
            <w:tcW w:w="1551"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lang w:val="en-US" w:eastAsia="zh-CN" w:bidi="ar"/>
              </w:rPr>
              <w:t>指标</w:t>
            </w:r>
          </w:p>
        </w:tc>
        <w:tc>
          <w:tcPr>
            <w:tcW w:w="16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救助困难职工</w:t>
            </w:r>
          </w:p>
        </w:tc>
        <w:tc>
          <w:tcPr>
            <w:tcW w:w="12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根据送温暖工作需要，及基层工会所申报的职工需求确定救助对象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trPr>
        <w:tc>
          <w:tcPr>
            <w:tcW w:w="954"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0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lang w:val="en-US" w:eastAsia="zh-CN" w:bidi="ar"/>
              </w:rPr>
              <w:t>满意度指标</w:t>
            </w:r>
          </w:p>
        </w:tc>
        <w:tc>
          <w:tcPr>
            <w:tcW w:w="12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服务对象</w:t>
            </w:r>
          </w:p>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满意度指标</w:t>
            </w:r>
          </w:p>
        </w:tc>
        <w:tc>
          <w:tcPr>
            <w:tcW w:w="158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送温暖受助对象满意度</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实现工会送温暖工作常态化、长效化，维护职工合法权益</w:t>
            </w:r>
          </w:p>
        </w:tc>
        <w:tc>
          <w:tcPr>
            <w:tcW w:w="155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服务对象</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lang w:val="en-US" w:eastAsia="zh-CN" w:bidi="ar"/>
              </w:rPr>
              <w:t>满意度指标</w:t>
            </w:r>
          </w:p>
        </w:tc>
        <w:tc>
          <w:tcPr>
            <w:tcW w:w="16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送温暖受助对象满意度</w:t>
            </w:r>
          </w:p>
        </w:tc>
        <w:tc>
          <w:tcPr>
            <w:tcW w:w="122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实现工会送温暖工作常态化、长效化，维护职工合法权益</w:t>
            </w:r>
          </w:p>
        </w:tc>
      </w:tr>
    </w:tbl>
    <w:p>
      <w:pPr>
        <w:keepNext w:val="0"/>
        <w:keepLines w:val="0"/>
        <w:widowControl/>
        <w:suppressLineNumbers w:val="0"/>
        <w:adjustRightInd w:val="0"/>
        <w:snapToGrid w:val="0"/>
        <w:spacing w:before="0" w:beforeAutospacing="1" w:after="0" w:afterAutospacing="1" w:line="600" w:lineRule="exact"/>
        <w:ind w:left="0" w:right="0"/>
        <w:jc w:val="left"/>
      </w:pPr>
      <w:r>
        <w:rPr>
          <w:rFonts w:hint="default" w:ascii="仿宋_GB2312" w:hAnsi="楷体" w:eastAsia="仿宋_GB2312" w:cs="仿宋_GB2312"/>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600" w:lineRule="exact"/>
        <w:ind w:left="0" w:right="0" w:firstLine="803" w:firstLineChars="250"/>
        <w:jc w:val="left"/>
      </w:pPr>
      <w:r>
        <w:rPr>
          <w:rFonts w:hint="default" w:ascii="仿宋_GB2312" w:hAnsi="楷体" w:eastAsia="仿宋_GB2312" w:cs="仿宋_GB2312"/>
          <w:b/>
          <w:kern w:val="2"/>
          <w:sz w:val="32"/>
          <w:szCs w:val="32"/>
          <w:lang w:val="en-US" w:eastAsia="zh-CN" w:bidi="ar"/>
        </w:rPr>
        <w:t>2.“劳动竞赛专项经费”项目。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1" w:after="0" w:afterAutospacing="1" w:line="500" w:lineRule="exact"/>
        <w:ind w:left="0" w:right="0" w:firstLine="640" w:firstLineChars="200"/>
        <w:jc w:val="left"/>
        <w:textAlignment w:val="auto"/>
      </w:pPr>
      <w:r>
        <w:rPr>
          <w:rFonts w:hint="eastAsia" w:ascii="方正仿宋_GBK" w:hAnsi="方正仿宋_GBK" w:eastAsia="方正仿宋_GBK" w:cs="方正仿宋_GBK"/>
          <w:kern w:val="2"/>
          <w:sz w:val="32"/>
          <w:szCs w:val="32"/>
          <w:lang w:val="en-US" w:eastAsia="zh-CN" w:bidi="ar"/>
        </w:rPr>
        <w:t>（1）项目概述。宿州市总工会劳动竞赛专项经费50万元。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1" w:after="0" w:afterAutospacing="1" w:line="500" w:lineRule="exact"/>
        <w:ind w:left="0" w:right="0" w:firstLine="585" w:firstLineChars="183"/>
        <w:jc w:val="left"/>
        <w:textAlignment w:val="auto"/>
      </w:pPr>
      <w:r>
        <w:rPr>
          <w:rFonts w:hint="eastAsia" w:ascii="方正仿宋_GBK" w:hAnsi="方正仿宋_GBK" w:eastAsia="方正仿宋_GBK" w:cs="方正仿宋_GBK"/>
          <w:kern w:val="2"/>
          <w:sz w:val="32"/>
          <w:szCs w:val="32"/>
          <w:lang w:val="en-US" w:eastAsia="zh-CN" w:bidi="ar"/>
        </w:rPr>
        <w:t>（2）立项依据。市政府与市总工会第十次联席会议研究同意拨付。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1" w:after="0" w:afterAutospacing="1" w:line="500" w:lineRule="exact"/>
        <w:ind w:left="0" w:right="0" w:firstLine="640" w:firstLineChars="200"/>
        <w:jc w:val="left"/>
        <w:textAlignment w:val="auto"/>
      </w:pPr>
      <w:r>
        <w:rPr>
          <w:rFonts w:hint="eastAsia" w:ascii="方正仿宋_GBK" w:hAnsi="方正仿宋_GBK" w:eastAsia="方正仿宋_GBK" w:cs="方正仿宋_GBK"/>
          <w:kern w:val="2"/>
          <w:sz w:val="32"/>
          <w:szCs w:val="32"/>
          <w:lang w:val="en-US" w:eastAsia="zh-CN" w:bidi="ar"/>
        </w:rPr>
        <w:t>（3）起止时间。长期项目。</w:t>
      </w:r>
    </w:p>
    <w:p>
      <w:pPr>
        <w:keepNext w:val="0"/>
        <w:keepLines w:val="0"/>
        <w:widowControl/>
        <w:suppressLineNumbers w:val="0"/>
        <w:spacing w:before="0" w:beforeAutospacing="1" w:after="0" w:afterAutospacing="1" w:line="600" w:lineRule="exact"/>
        <w:ind w:left="0" w:right="0" w:firstLine="642"/>
        <w:jc w:val="left"/>
      </w:pPr>
      <w:r>
        <w:rPr>
          <w:rFonts w:hint="eastAsia" w:ascii="方正仿宋_GBK" w:hAnsi="方正仿宋_GBK" w:eastAsia="方正仿宋_GBK" w:cs="方正仿宋_GBK"/>
          <w:kern w:val="2"/>
          <w:sz w:val="32"/>
          <w:szCs w:val="32"/>
          <w:lang w:val="en-US" w:eastAsia="zh-CN" w:bidi="ar"/>
        </w:rPr>
        <w:t>（4）项目内容。通过开展劳动竞赛活动，提升了职工技能，增强了职工岗位成才的积极性，进一步推动建设一支高素质职工队伍，劳动竞赛企业覆盖面和职工参与率不断提高，职工职业晋级人数不断增长，加大了宣传力度，营造热爱劳动、创造光荣的社会氛围</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（5）年度预算安排。根据与市劳动竞赛委员会和市总工会共同举办的劳动竞赛实际支出</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方正仿宋_GBK" w:hAnsi="方正仿宋_GBK" w:eastAsia="方正仿宋_GBK" w:cs="方正仿宋_GBK"/>
          <w:kern w:val="2"/>
          <w:sz w:val="32"/>
          <w:szCs w:val="32"/>
          <w:lang w:val="en-US" w:eastAsia="zh-CN" w:bidi="ar"/>
        </w:rPr>
        <w:t>（6）绩效目标和指标。</w:t>
      </w:r>
    </w:p>
    <w:tbl>
      <w:tblPr>
        <w:tblStyle w:val="3"/>
        <w:tblW w:w="10168" w:type="dxa"/>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0"/>
        <w:gridCol w:w="928"/>
        <w:gridCol w:w="1159"/>
        <w:gridCol w:w="1797"/>
        <w:gridCol w:w="1686"/>
        <w:gridCol w:w="862"/>
        <w:gridCol w:w="860"/>
        <w:gridCol w:w="890"/>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5" w:hRule="atLeast"/>
        </w:trPr>
        <w:tc>
          <w:tcPr>
            <w:tcW w:w="10168"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32"/>
                <w:szCs w:val="32"/>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8" w:hRule="atLeast"/>
        </w:trPr>
        <w:tc>
          <w:tcPr>
            <w:tcW w:w="10168"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w:t>
            </w:r>
            <w:r>
              <w:rPr>
                <w:rFonts w:hint="default" w:ascii="Times New Roman" w:hAnsi="Times New Roman" w:cs="Times New Roman" w:eastAsiaTheme="minorEastAsia"/>
                <w:color w:val="000000"/>
                <w:kern w:val="0"/>
                <w:sz w:val="24"/>
                <w:szCs w:val="24"/>
                <w:lang w:val="en-US" w:eastAsia="zh-CN" w:bidi="ar"/>
              </w:rPr>
              <w:t xml:space="preserve">     2019     </w:t>
            </w:r>
            <w:r>
              <w:rPr>
                <w:rFonts w:hint="eastAsia" w:ascii="宋体" w:hAnsi="宋体" w:eastAsia="宋体" w:cs="宋体"/>
                <w:i w:val="0"/>
                <w:color w:val="000000"/>
                <w:kern w:val="0"/>
                <w:sz w:val="24"/>
                <w:szCs w:val="2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8" w:hRule="atLeast"/>
        </w:trPr>
        <w:tc>
          <w:tcPr>
            <w:tcW w:w="600"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928"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159"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797"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686"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862"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860"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890"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386"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7" w:hRule="atLeast"/>
        </w:trPr>
        <w:tc>
          <w:tcPr>
            <w:tcW w:w="2687"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项目名称</w:t>
            </w:r>
          </w:p>
        </w:tc>
        <w:tc>
          <w:tcPr>
            <w:tcW w:w="7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劳动竞赛专项经费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7" w:hRule="atLeast"/>
        </w:trPr>
        <w:tc>
          <w:tcPr>
            <w:tcW w:w="2687"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实施单位</w:t>
            </w:r>
          </w:p>
        </w:tc>
        <w:tc>
          <w:tcPr>
            <w:tcW w:w="748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宿州市总工会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7" w:hRule="atLeast"/>
        </w:trPr>
        <w:tc>
          <w:tcPr>
            <w:tcW w:w="2687"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项目属性</w:t>
            </w:r>
          </w:p>
        </w:tc>
        <w:tc>
          <w:tcPr>
            <w:tcW w:w="3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新增项目</w:t>
            </w:r>
          </w:p>
        </w:tc>
        <w:tc>
          <w:tcPr>
            <w:tcW w:w="172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项目期</w:t>
            </w:r>
          </w:p>
        </w:tc>
        <w:tc>
          <w:tcPr>
            <w:tcW w:w="2276"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268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（万元）</w:t>
            </w:r>
          </w:p>
        </w:tc>
        <w:tc>
          <w:tcPr>
            <w:tcW w:w="17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中期资金总额：</w:t>
            </w:r>
          </w:p>
        </w:tc>
        <w:tc>
          <w:tcPr>
            <w:tcW w:w="1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150万元</w:t>
            </w:r>
          </w:p>
        </w:tc>
        <w:tc>
          <w:tcPr>
            <w:tcW w:w="1722"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年度资金总额：</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26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7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其中：财政拨款</w:t>
            </w:r>
          </w:p>
        </w:tc>
        <w:tc>
          <w:tcPr>
            <w:tcW w:w="1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150万元</w:t>
            </w:r>
          </w:p>
        </w:tc>
        <w:tc>
          <w:tcPr>
            <w:tcW w:w="1722"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其中：财政拨款</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268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7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i w:val="0"/>
                <w:color w:val="000000"/>
                <w:kern w:val="0"/>
                <w:sz w:val="24"/>
                <w:szCs w:val="24"/>
                <w:lang w:val="en-US" w:eastAsia="zh-CN" w:bidi="ar"/>
              </w:rPr>
              <w:t xml:space="preserve">       其他资金</w:t>
            </w:r>
          </w:p>
        </w:tc>
        <w:tc>
          <w:tcPr>
            <w:tcW w:w="1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722"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i w:val="0"/>
                <w:color w:val="000000"/>
                <w:kern w:val="0"/>
                <w:sz w:val="24"/>
                <w:szCs w:val="24"/>
                <w:lang w:val="en-US" w:eastAsia="zh-CN" w:bidi="ar"/>
              </w:rPr>
              <w:t xml:space="preserve"> 其他资金</w:t>
            </w:r>
          </w:p>
        </w:tc>
        <w:tc>
          <w:tcPr>
            <w:tcW w:w="22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7" w:hRule="atLeast"/>
        </w:trPr>
        <w:tc>
          <w:tcPr>
            <w:tcW w:w="6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总</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体</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目</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标</w:t>
            </w:r>
          </w:p>
        </w:tc>
        <w:tc>
          <w:tcPr>
            <w:tcW w:w="5570"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中期目标（2019年—2021年）</w:t>
            </w:r>
          </w:p>
        </w:tc>
        <w:tc>
          <w:tcPr>
            <w:tcW w:w="399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98" w:hRule="atLeast"/>
        </w:trPr>
        <w:tc>
          <w:tcPr>
            <w:tcW w:w="60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570"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left"/>
              <w:textAlignment w:val="top"/>
            </w:pPr>
            <w:r>
              <w:rPr>
                <w:rFonts w:hint="eastAsia" w:ascii="宋体" w:hAnsi="宋体" w:eastAsia="宋体" w:cs="宋体"/>
                <w:b/>
                <w:color w:val="000000"/>
                <w:kern w:val="0"/>
                <w:sz w:val="24"/>
                <w:szCs w:val="24"/>
                <w:lang w:val="en-US" w:eastAsia="zh-CN" w:bidi="ar"/>
              </w:rPr>
              <w:t>2019年-2021年中期总体目标</w:t>
            </w:r>
            <w:r>
              <w:rPr>
                <w:rFonts w:hint="eastAsia" w:ascii="宋体" w:hAnsi="宋体" w:eastAsia="宋体" w:cs="宋体"/>
                <w:i w:val="0"/>
                <w:color w:val="000000"/>
                <w:kern w:val="0"/>
                <w:sz w:val="24"/>
                <w:szCs w:val="24"/>
                <w:lang w:val="en-US" w:eastAsia="zh-CN" w:bidi="ar"/>
              </w:rPr>
              <w:t xml:space="preserve">：通过开展劳动竞赛活动，提升了职工技能，增强了职工岗位成才的积极性，进一步推动建设一支高素质职工队伍，劳动竞赛企业覆盖面和职工参与率不断提高，职工职业晋级人数不断增长，加大了宣传力度，营造热爱劳动、创造光荣的社会氛围。     </w:t>
            </w:r>
          </w:p>
        </w:tc>
        <w:tc>
          <w:tcPr>
            <w:tcW w:w="3998"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left"/>
              <w:textAlignment w:val="top"/>
            </w:pPr>
            <w:r>
              <w:rPr>
                <w:rFonts w:hint="eastAsia" w:ascii="宋体" w:hAnsi="宋体" w:eastAsia="宋体" w:cs="宋体"/>
                <w:b/>
                <w:color w:val="000000"/>
                <w:kern w:val="0"/>
                <w:sz w:val="24"/>
                <w:szCs w:val="24"/>
                <w:lang w:val="en-US" w:eastAsia="zh-CN" w:bidi="ar"/>
              </w:rPr>
              <w:t>2019年-2021年中期总体目标：</w:t>
            </w:r>
            <w:r>
              <w:rPr>
                <w:rFonts w:hint="eastAsia" w:ascii="宋体" w:hAnsi="宋体" w:eastAsia="宋体" w:cs="宋体"/>
                <w:i w:val="0"/>
                <w:color w:val="000000"/>
                <w:kern w:val="0"/>
                <w:sz w:val="24"/>
                <w:szCs w:val="24"/>
                <w:lang w:val="en-US" w:eastAsia="zh-CN" w:bidi="ar"/>
              </w:rPr>
              <w:t xml:space="preserve">通过开展劳动竞赛活动，提升了职工技能，增强了职工岗位成才的积极性，进一步推动建设一支高素质职工队伍，劳动竞赛企业覆盖面和职工参与率不断提高，职工职业晋级人数不断增长，加大了宣传力度，营造热爱劳动、创造光荣的社会氛围。    </w:t>
            </w:r>
            <w:r>
              <w:rPr>
                <w:rFonts w:hint="eastAsia" w:ascii="宋体" w:hAnsi="宋体" w:eastAsia="宋体" w:cs="宋体"/>
                <w:b/>
                <w:i w:val="0"/>
                <w:color w:val="000000"/>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trPr>
        <w:tc>
          <w:tcPr>
            <w:tcW w:w="60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绩</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效</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标</w:t>
            </w:r>
          </w:p>
        </w:tc>
        <w:tc>
          <w:tcPr>
            <w:tcW w:w="9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一级</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lang w:val="en-US" w:eastAsia="zh-CN" w:bidi="ar"/>
              </w:rPr>
              <w:t>指标</w:t>
            </w:r>
          </w:p>
        </w:tc>
        <w:tc>
          <w:tcPr>
            <w:tcW w:w="11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二级指标</w:t>
            </w:r>
          </w:p>
        </w:tc>
        <w:tc>
          <w:tcPr>
            <w:tcW w:w="17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三级指标</w:t>
            </w:r>
          </w:p>
        </w:tc>
        <w:tc>
          <w:tcPr>
            <w:tcW w:w="1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指标值</w:t>
            </w:r>
          </w:p>
        </w:tc>
        <w:tc>
          <w:tcPr>
            <w:tcW w:w="862" w:type="dxa"/>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二级指标</w:t>
            </w:r>
          </w:p>
        </w:tc>
        <w:tc>
          <w:tcPr>
            <w:tcW w:w="1750" w:type="dxa"/>
            <w:gridSpan w:val="2"/>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三级指标</w:t>
            </w:r>
          </w:p>
        </w:tc>
        <w:tc>
          <w:tcPr>
            <w:tcW w:w="13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5" w:hRule="atLeast"/>
        </w:trPr>
        <w:tc>
          <w:tcPr>
            <w:tcW w:w="60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9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2"/>
                <w:sz w:val="24"/>
                <w:szCs w:val="24"/>
                <w:lang w:val="en-US" w:eastAsia="zh-CN" w:bidi="ar"/>
              </w:rPr>
              <w:t>效益指标</w:t>
            </w:r>
          </w:p>
        </w:tc>
        <w:tc>
          <w:tcPr>
            <w:tcW w:w="11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w:t>
            </w:r>
          </w:p>
        </w:tc>
        <w:tc>
          <w:tcPr>
            <w:tcW w:w="17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增强了职工岗位成才的积极性</w:t>
            </w:r>
          </w:p>
        </w:tc>
        <w:tc>
          <w:tcPr>
            <w:tcW w:w="1686" w:type="dxa"/>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根据与市劳动竞赛委员会和市总工会共同举办的劳动竞赛单位</w:t>
            </w:r>
          </w:p>
        </w:tc>
        <w:tc>
          <w:tcPr>
            <w:tcW w:w="862"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w:t>
            </w:r>
          </w:p>
        </w:tc>
        <w:tc>
          <w:tcPr>
            <w:tcW w:w="175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增强了职工岗位成才的积极性</w:t>
            </w:r>
          </w:p>
        </w:tc>
        <w:tc>
          <w:tcPr>
            <w:tcW w:w="13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根据与市劳动竞赛委员会和市总工会共同举办的劳动竞赛单位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8" w:hRule="atLeast"/>
        </w:trPr>
        <w:tc>
          <w:tcPr>
            <w:tcW w:w="60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928" w:type="dxa"/>
            <w:vMerge w:val="continue"/>
            <w:tcBorders>
              <w:top w:val="nil"/>
              <w:left w:val="nil"/>
              <w:bottom w:val="single" w:color="000000" w:sz="4" w:space="0"/>
              <w:right w:val="single" w:color="000000" w:sz="4" w:space="0"/>
            </w:tcBorders>
            <w:shd w:val="clear" w:color="auto" w:fill="auto"/>
            <w:vAlign w:val="center"/>
          </w:tcPr>
          <w:p>
            <w:pPr>
              <w:rPr>
                <w:rFonts w:hint="eastAsia" w:ascii="宋体"/>
                <w:sz w:val="24"/>
                <w:szCs w:val="24"/>
              </w:rPr>
            </w:pPr>
          </w:p>
        </w:tc>
        <w:tc>
          <w:tcPr>
            <w:tcW w:w="11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可持续影响</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w:t>
            </w:r>
          </w:p>
        </w:tc>
        <w:tc>
          <w:tcPr>
            <w:tcW w:w="179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增加企业举办劳动竞赛的积极性，有利于推动高素质职工队伍的建设</w:t>
            </w:r>
          </w:p>
        </w:tc>
        <w:tc>
          <w:tcPr>
            <w:tcW w:w="16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持续强化服务意识、质量意识和标准意识，围绕业务技能提升，全面提升员工业务素质和企业竞争力。</w:t>
            </w:r>
          </w:p>
        </w:tc>
        <w:tc>
          <w:tcPr>
            <w:tcW w:w="862"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可持续影响</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w:t>
            </w:r>
          </w:p>
        </w:tc>
        <w:tc>
          <w:tcPr>
            <w:tcW w:w="1750"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增加企业举办劳动竞赛的积极性，有利于推动高素质职工队伍的建设</w:t>
            </w:r>
          </w:p>
        </w:tc>
        <w:tc>
          <w:tcPr>
            <w:tcW w:w="13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0"/>
                <w:szCs w:val="20"/>
                <w:lang w:val="en-US" w:eastAsia="zh-CN" w:bidi="ar"/>
              </w:rPr>
              <w:t>持续强化服务意识、质量意识和标准意识，围绕业务技能提升，全面提升员工业务素质和企业竞争力。</w:t>
            </w:r>
          </w:p>
        </w:tc>
      </w:tr>
    </w:tbl>
    <w:p>
      <w:pPr>
        <w:keepNext w:val="0"/>
        <w:keepLines w:val="0"/>
        <w:widowControl/>
        <w:numPr>
          <w:ilvl w:val="0"/>
          <w:numId w:val="0"/>
        </w:numPr>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楷体" w:eastAsia="仿宋_GB2312" w:cs="仿宋_GB2312"/>
          <w:b/>
          <w:kern w:val="2"/>
          <w:sz w:val="32"/>
          <w:szCs w:val="32"/>
          <w:lang w:val="en-US" w:eastAsia="zh-CN" w:bidi="ar"/>
        </w:rPr>
        <w:t>3、“困难劳模补助金”</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（1）项目概述。宿州市总工会困难劳模补助金50万元。</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（2）立项依据。市政府与市总工会第十六次联席会议研究同意拨付。</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（3）起止时间。长期项目。</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4）项目内容。规范劳模救助和管理，进一步加大劳模生活困难补助力度，妥善解决劳模在医疗、就业、住房及生活等方面困难，依据市级劳模生活困难状况，以困难救助、医疗帮扶、生活补助、节日慰问、就业保障、住房优待等措施为抓手，重点面向职工老劳模、企业“关停并转”中失业劳模、产能过剩企业下岗劳模、农民老劳模做好帮扶服务工作，进一步完善劳模困难帮扶政策和措施，切实解决好劳模实际困难，落实劳模各项优惠政策，提高劳模管理服务水平，在全社会大力营造尊重劳模、崇尚劳模、争当劳模的良好的社会环境，倡导劳动伟大、创造光荣的浓厚社会氛围，使劳模充分享受经济社会发展成果。</w:t>
      </w:r>
    </w:p>
    <w:p>
      <w:pPr>
        <w:keepNext w:val="0"/>
        <w:keepLines w:val="0"/>
        <w:widowControl/>
        <w:suppressLineNumbers w:val="0"/>
        <w:spacing w:before="0" w:beforeAutospacing="1" w:after="0" w:afterAutospacing="1"/>
        <w:ind w:left="0" w:right="0" w:firstLine="640" w:firstLineChars="200"/>
        <w:jc w:val="left"/>
      </w:pPr>
      <w:r>
        <w:rPr>
          <w:rFonts w:hint="eastAsia" w:ascii="方正仿宋_GBK" w:hAnsi="方正仿宋_GBK" w:eastAsia="方正仿宋_GBK" w:cs="方正仿宋_GBK"/>
          <w:kern w:val="2"/>
          <w:sz w:val="32"/>
          <w:szCs w:val="32"/>
          <w:lang w:val="en-US" w:eastAsia="zh-CN" w:bidi="ar"/>
        </w:rPr>
        <w:t>（5）年度预算安排。根据基层工会申报和市级劳模状况调查表审核确定补助对象和金额。</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楷体" w:eastAsia="仿宋_GB2312" w:cs="仿宋_GB2312"/>
          <w:kern w:val="2"/>
          <w:sz w:val="32"/>
          <w:szCs w:val="32"/>
          <w:lang w:val="en-US" w:eastAsia="zh-CN" w:bidi="ar"/>
        </w:rPr>
        <w:t>（6）绩效目标和指标。</w:t>
      </w:r>
    </w:p>
    <w:tbl>
      <w:tblPr>
        <w:tblStyle w:val="3"/>
        <w:tblW w:w="10801" w:type="dxa"/>
        <w:tblInd w:w="-1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0"/>
        <w:gridCol w:w="901"/>
        <w:gridCol w:w="1186"/>
        <w:gridCol w:w="1623"/>
        <w:gridCol w:w="1868"/>
        <w:gridCol w:w="1132"/>
        <w:gridCol w:w="1118"/>
        <w:gridCol w:w="477"/>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7" w:hRule="atLeast"/>
        </w:trPr>
        <w:tc>
          <w:tcPr>
            <w:tcW w:w="10801"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b/>
                <w:color w:val="000000"/>
                <w:kern w:val="0"/>
                <w:sz w:val="32"/>
                <w:szCs w:val="32"/>
                <w:lang w:val="en-US" w:eastAsia="zh-CN" w:bidi="ar"/>
              </w:rPr>
              <w:t>项目支出绩效目标申报表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8" w:hRule="atLeast"/>
        </w:trPr>
        <w:tc>
          <w:tcPr>
            <w:tcW w:w="10801"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w:t>
            </w:r>
            <w:r>
              <w:rPr>
                <w:rFonts w:hint="default" w:ascii="Times New Roman" w:hAnsi="Times New Roman" w:cs="Times New Roman" w:eastAsiaTheme="minorEastAsia"/>
                <w:color w:val="000000"/>
                <w:kern w:val="0"/>
                <w:sz w:val="24"/>
                <w:szCs w:val="24"/>
                <w:lang w:val="en-US" w:eastAsia="zh-CN" w:bidi="ar"/>
              </w:rPr>
              <w:t xml:space="preserve">     2019     </w:t>
            </w:r>
            <w:r>
              <w:rPr>
                <w:rFonts w:hint="eastAsia" w:ascii="宋体" w:hAnsi="宋体" w:eastAsia="宋体" w:cs="宋体"/>
                <w:color w:val="000000"/>
                <w:kern w:val="0"/>
                <w:sz w:val="24"/>
                <w:szCs w:val="2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0" w:hRule="atLeast"/>
        </w:trPr>
        <w:tc>
          <w:tcPr>
            <w:tcW w:w="640"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901"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186"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623" w:type="dxa"/>
            <w:tcBorders>
              <w:top w:val="nil"/>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1868"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132"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118"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477"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c>
          <w:tcPr>
            <w:tcW w:w="1856" w:type="dxa"/>
            <w:tcBorders>
              <w:top w:val="nil"/>
              <w:left w:val="nil"/>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2"/>
                <w:szCs w:val="22"/>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2727"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项目名称</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困难劳模补助金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2727"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实施单位</w:t>
            </w:r>
          </w:p>
        </w:tc>
        <w:tc>
          <w:tcPr>
            <w:tcW w:w="80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宿州市总工会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2727"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项目属性</w:t>
            </w:r>
          </w:p>
        </w:tc>
        <w:tc>
          <w:tcPr>
            <w:tcW w:w="34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新增项目</w:t>
            </w:r>
          </w:p>
        </w:tc>
        <w:tc>
          <w:tcPr>
            <w:tcW w:w="2250"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项目期</w:t>
            </w:r>
          </w:p>
        </w:tc>
        <w:tc>
          <w:tcPr>
            <w:tcW w:w="2333"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272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项目资金</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（万元）</w:t>
            </w:r>
          </w:p>
        </w:tc>
        <w:tc>
          <w:tcPr>
            <w:tcW w:w="16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中期资金总额：</w:t>
            </w:r>
          </w:p>
        </w:tc>
        <w:tc>
          <w:tcPr>
            <w:tcW w:w="18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150万元</w:t>
            </w:r>
          </w:p>
        </w:tc>
        <w:tc>
          <w:tcPr>
            <w:tcW w:w="2250"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年度资金总额：</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272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6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其中：财政拨款</w:t>
            </w:r>
          </w:p>
        </w:tc>
        <w:tc>
          <w:tcPr>
            <w:tcW w:w="18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150万元</w:t>
            </w:r>
          </w:p>
        </w:tc>
        <w:tc>
          <w:tcPr>
            <w:tcW w:w="2250"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其中：财政拨款</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272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16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其他资金</w:t>
            </w:r>
          </w:p>
        </w:tc>
        <w:tc>
          <w:tcPr>
            <w:tcW w:w="18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2"/>
                <w:sz w:val="24"/>
                <w:szCs w:val="24"/>
                <w:lang w:val="en-US" w:eastAsia="zh-CN" w:bidi="ar"/>
              </w:rPr>
              <w:t> </w:t>
            </w:r>
          </w:p>
        </w:tc>
        <w:tc>
          <w:tcPr>
            <w:tcW w:w="2250" w:type="dxa"/>
            <w:gridSpan w:val="2"/>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其他资金</w:t>
            </w:r>
          </w:p>
        </w:tc>
        <w:tc>
          <w:tcPr>
            <w:tcW w:w="23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2"/>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rPr>
        <w:tc>
          <w:tcPr>
            <w:tcW w:w="6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总</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体</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目</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标</w:t>
            </w:r>
          </w:p>
        </w:tc>
        <w:tc>
          <w:tcPr>
            <w:tcW w:w="557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中期目标（2019年—2021年）</w:t>
            </w:r>
          </w:p>
        </w:tc>
        <w:tc>
          <w:tcPr>
            <w:tcW w:w="458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22" w:hRule="atLeast"/>
        </w:trPr>
        <w:tc>
          <w:tcPr>
            <w:tcW w:w="6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5578"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left"/>
              <w:textAlignment w:val="top"/>
            </w:pPr>
            <w:r>
              <w:rPr>
                <w:rFonts w:hint="eastAsia" w:ascii="宋体" w:hAnsi="宋体" w:eastAsia="宋体" w:cs="宋体"/>
                <w:b/>
                <w:color w:val="000000"/>
                <w:kern w:val="0"/>
                <w:sz w:val="24"/>
                <w:szCs w:val="24"/>
                <w:lang w:val="en-US" w:eastAsia="zh-CN" w:bidi="ar"/>
              </w:rPr>
              <w:t>2019年-2021年中期总体目标：</w:t>
            </w:r>
            <w:r>
              <w:rPr>
                <w:rFonts w:hint="eastAsia" w:ascii="宋体" w:hAnsi="宋体" w:eastAsia="宋体" w:cs="宋体"/>
                <w:color w:val="000000"/>
                <w:kern w:val="0"/>
                <w:sz w:val="24"/>
                <w:szCs w:val="24"/>
                <w:lang w:val="en-US" w:eastAsia="zh-CN" w:bidi="ar"/>
              </w:rPr>
              <w:t>切实帮助我市市级劳模解决实际困难，使劳模充分享受经济社会发展成果。在全社会营造关爱困难劳模良好氛围， 维护劳模合法权益、竭诚服务劳模，及时将困难劳模补助金发放到困难劳模手中，让困难劳模及时感受到市委、市政府的关心和关怀，让困难劳模感受鼓舞和温暖。切实发挥劳动模范是民族的精英、人民的楷模，是决胜全面建成小康社会、加快建设五大发展美好宿州的重要力量的作用。</w:t>
            </w:r>
          </w:p>
        </w:tc>
        <w:tc>
          <w:tcPr>
            <w:tcW w:w="4583" w:type="dxa"/>
            <w:gridSpan w:val="4"/>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spacing w:before="0" w:beforeAutospacing="1" w:after="0" w:afterAutospacing="1"/>
              <w:ind w:left="0" w:right="0"/>
              <w:jc w:val="left"/>
              <w:textAlignment w:val="top"/>
            </w:pPr>
            <w:r>
              <w:rPr>
                <w:rFonts w:hint="eastAsia" w:ascii="宋体" w:hAnsi="宋体" w:eastAsia="宋体" w:cs="宋体"/>
                <w:b/>
                <w:color w:val="000000"/>
                <w:kern w:val="0"/>
                <w:sz w:val="24"/>
                <w:szCs w:val="24"/>
                <w:lang w:val="en-US" w:eastAsia="zh-CN" w:bidi="ar"/>
              </w:rPr>
              <w:t>2019年-2021年中期总体目标：</w:t>
            </w:r>
            <w:r>
              <w:rPr>
                <w:rFonts w:hint="eastAsia" w:ascii="宋体" w:hAnsi="宋体" w:eastAsia="宋体" w:cs="宋体"/>
                <w:color w:val="000000"/>
                <w:kern w:val="0"/>
                <w:sz w:val="24"/>
                <w:szCs w:val="24"/>
                <w:lang w:val="en-US" w:eastAsia="zh-CN" w:bidi="ar"/>
              </w:rPr>
              <w:t>切实帮助我市市级劳模解决实际困难，使劳模充分享受经济社会发展成果。在全社会营造关爱困难劳模良好氛围， 维护劳模合法权益、竭诚服务劳模，及时将困难劳模补助金发放到困难劳模手中，让困难劳模及时感受到市委、市政府的关心和关怀，让困难劳模感受鼓舞和温暖。切实发挥劳动模范是民族的精英、人民的楷模，是决胜全面建成小康社会、加快建设五大发展美好宿州的重要力量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56" w:hRule="atLeast"/>
        </w:trPr>
        <w:tc>
          <w:tcPr>
            <w:tcW w:w="64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绩</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效</w:t>
            </w:r>
          </w:p>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指</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标</w:t>
            </w:r>
          </w:p>
        </w:tc>
        <w:tc>
          <w:tcPr>
            <w:tcW w:w="9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一级</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0"/>
                <w:szCs w:val="20"/>
                <w:lang w:val="en-US" w:eastAsia="zh-CN" w:bidi="ar"/>
              </w:rPr>
              <w:t>指标</w:t>
            </w:r>
          </w:p>
        </w:tc>
        <w:tc>
          <w:tcPr>
            <w:tcW w:w="11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二级指标</w:t>
            </w:r>
          </w:p>
        </w:tc>
        <w:tc>
          <w:tcPr>
            <w:tcW w:w="16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三级指标</w:t>
            </w:r>
          </w:p>
        </w:tc>
        <w:tc>
          <w:tcPr>
            <w:tcW w:w="18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指标值</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二级指标</w:t>
            </w:r>
          </w:p>
        </w:tc>
        <w:tc>
          <w:tcPr>
            <w:tcW w:w="15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三级指标</w:t>
            </w:r>
          </w:p>
        </w:tc>
        <w:tc>
          <w:tcPr>
            <w:tcW w:w="18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3" w:hRule="atLeast"/>
        </w:trPr>
        <w:tc>
          <w:tcPr>
            <w:tcW w:w="6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9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效益指标</w:t>
            </w:r>
          </w:p>
        </w:tc>
        <w:tc>
          <w:tcPr>
            <w:tcW w:w="11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w:t>
            </w:r>
          </w:p>
        </w:tc>
        <w:tc>
          <w:tcPr>
            <w:tcW w:w="16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补助困难劳模</w:t>
            </w:r>
          </w:p>
        </w:tc>
        <w:tc>
          <w:tcPr>
            <w:tcW w:w="18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根据基层工会申报和市级劳模状况调查表审核确定补助对象</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社会效益</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指标</w:t>
            </w:r>
          </w:p>
        </w:tc>
        <w:tc>
          <w:tcPr>
            <w:tcW w:w="15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 xml:space="preserve"> 补助困难劳模</w:t>
            </w:r>
          </w:p>
        </w:tc>
        <w:tc>
          <w:tcPr>
            <w:tcW w:w="18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根据基层工会申报和市级劳模状况调查表审核确定补助对象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4" w:hRule="atLeast"/>
        </w:trPr>
        <w:tc>
          <w:tcPr>
            <w:tcW w:w="640"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eastAsia" w:ascii="宋体"/>
                <w:sz w:val="24"/>
                <w:szCs w:val="24"/>
              </w:rPr>
            </w:pPr>
          </w:p>
        </w:tc>
        <w:tc>
          <w:tcPr>
            <w:tcW w:w="90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满意度指标</w:t>
            </w:r>
          </w:p>
        </w:tc>
        <w:tc>
          <w:tcPr>
            <w:tcW w:w="118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服务对象</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满意度指标</w:t>
            </w:r>
          </w:p>
        </w:tc>
        <w:tc>
          <w:tcPr>
            <w:tcW w:w="16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困难劳模满意度</w:t>
            </w:r>
          </w:p>
        </w:tc>
        <w:tc>
          <w:tcPr>
            <w:tcW w:w="186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实现困难劳模补助工作常态化、长效化，维护劳模合法权益</w:t>
            </w:r>
          </w:p>
        </w:tc>
        <w:tc>
          <w:tcPr>
            <w:tcW w:w="113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服务对象</w:t>
            </w:r>
          </w:p>
          <w:p>
            <w:pPr>
              <w:keepNext w:val="0"/>
              <w:keepLines w:val="0"/>
              <w:widowControl/>
              <w:suppressLineNumbers w:val="0"/>
              <w:spacing w:before="0" w:beforeAutospacing="1" w:after="0" w:afterAutospacing="1"/>
              <w:ind w:left="0" w:right="0"/>
              <w:jc w:val="center"/>
              <w:textAlignment w:val="center"/>
            </w:pPr>
            <w:r>
              <w:rPr>
                <w:rFonts w:hint="eastAsia" w:ascii="宋体" w:hAnsi="宋体" w:eastAsia="宋体" w:cs="宋体"/>
                <w:color w:val="000000"/>
                <w:kern w:val="0"/>
                <w:sz w:val="24"/>
                <w:szCs w:val="24"/>
                <w:lang w:val="en-US" w:eastAsia="zh-CN" w:bidi="ar"/>
              </w:rPr>
              <w:t>满意度指标</w:t>
            </w:r>
          </w:p>
        </w:tc>
        <w:tc>
          <w:tcPr>
            <w:tcW w:w="1595"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困难劳模满意度</w:t>
            </w:r>
          </w:p>
        </w:tc>
        <w:tc>
          <w:tcPr>
            <w:tcW w:w="18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1" w:after="0" w:afterAutospacing="1"/>
              <w:ind w:left="0" w:right="0"/>
              <w:jc w:val="left"/>
              <w:textAlignment w:val="center"/>
            </w:pPr>
            <w:r>
              <w:rPr>
                <w:rFonts w:hint="eastAsia" w:ascii="宋体" w:hAnsi="宋体" w:eastAsia="宋体" w:cs="宋体"/>
                <w:color w:val="000000"/>
                <w:kern w:val="0"/>
                <w:sz w:val="24"/>
                <w:szCs w:val="24"/>
                <w:lang w:val="en-US" w:eastAsia="zh-CN" w:bidi="ar"/>
              </w:rPr>
              <w:t>实现困难劳模补助工作常态化、长效化，维护劳模合法权益</w:t>
            </w:r>
          </w:p>
        </w:tc>
      </w:tr>
    </w:tbl>
    <w:p>
      <w:pPr>
        <w:keepNext w:val="0"/>
        <w:keepLines w:val="0"/>
        <w:widowControl/>
        <w:suppressLineNumbers w:val="0"/>
        <w:adjustRightInd w:val="0"/>
        <w:snapToGrid w:val="0"/>
        <w:spacing w:before="0" w:beforeAutospacing="1" w:after="0" w:afterAutospacing="1" w:line="600" w:lineRule="exact"/>
        <w:ind w:left="0" w:right="0"/>
        <w:jc w:val="left"/>
      </w:pPr>
      <w:r>
        <w:rPr>
          <w:rFonts w:hint="default" w:ascii="仿宋_GB2312" w:hAnsi="楷体" w:eastAsia="仿宋_GB2312" w:cs="仿宋_GB2312"/>
          <w:b/>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楷体" w:eastAsia="仿宋_GB2312" w:cs="仿宋_GB2312"/>
          <w:b/>
          <w:kern w:val="2"/>
          <w:sz w:val="32"/>
          <w:szCs w:val="32"/>
          <w:lang w:val="en-US" w:eastAsia="zh-CN" w:bidi="ar"/>
        </w:rPr>
        <w:t>（二）机关运行经费。</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宿州市总工会2019年机关运行经费财政拨款预算16.52万元，比2018年增加0.18万元，增长1.1%，增长主要原因是增加福利费0.18万元。</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楷体" w:eastAsia="仿宋_GB2312" w:cs="仿宋_GB2312"/>
          <w:b/>
          <w:kern w:val="2"/>
          <w:sz w:val="32"/>
          <w:szCs w:val="32"/>
          <w:lang w:val="en-US" w:eastAsia="zh-CN" w:bidi="ar"/>
        </w:rPr>
        <w:t>（三）政府采购情况。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宿州市总工会</w:t>
      </w:r>
      <w:r>
        <w:rPr>
          <w:rFonts w:hint="default" w:ascii="仿宋_GB2312" w:hAnsi="楷体" w:eastAsia="仿宋_GB2312" w:cs="仿宋_GB2312"/>
          <w:kern w:val="2"/>
          <w:sz w:val="32"/>
          <w:szCs w:val="32"/>
          <w:lang w:val="en-US" w:eastAsia="zh-CN" w:bidi="ar"/>
        </w:rPr>
        <w:t>2019年政府采购预算总额0万元。其中：政府采购货物预算0万元，政府采购工程预算0万元，政府采购服务预算0万元。</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楷体" w:eastAsia="仿宋_GB2312" w:cs="仿宋_GB2312"/>
          <w:b/>
          <w:kern w:val="2"/>
          <w:sz w:val="32"/>
          <w:szCs w:val="32"/>
          <w:lang w:val="en-US" w:eastAsia="zh-CN" w:bidi="ar"/>
        </w:rPr>
        <w:t>（四）政府购买服务情况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宿州市总工会</w:t>
      </w:r>
      <w:r>
        <w:rPr>
          <w:rFonts w:hint="default" w:ascii="仿宋_GB2312" w:hAnsi="楷体" w:eastAsia="仿宋_GB2312" w:cs="仿宋_GB2312"/>
          <w:kern w:val="2"/>
          <w:sz w:val="32"/>
          <w:szCs w:val="32"/>
          <w:lang w:val="en-US" w:eastAsia="zh-CN" w:bidi="ar"/>
        </w:rPr>
        <w:t xml:space="preserve">2019年政府购买服务总额0万元。 </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楷体" w:eastAsia="仿宋_GB2312" w:cs="仿宋_GB2312"/>
          <w:b/>
          <w:kern w:val="2"/>
          <w:sz w:val="32"/>
          <w:szCs w:val="32"/>
          <w:lang w:val="en-US" w:eastAsia="zh-CN" w:bidi="ar"/>
        </w:rPr>
        <w:t>（四）国有资产占有使用情况。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截至2018年底，宿州市总工会</w:t>
      </w:r>
      <w:r>
        <w:rPr>
          <w:rFonts w:hint="default" w:ascii="仿宋_GB2312" w:hAnsi="楷体" w:eastAsia="仿宋_GB2312" w:cs="仿宋_GB2312"/>
          <w:kern w:val="2"/>
          <w:sz w:val="32"/>
          <w:szCs w:val="32"/>
          <w:lang w:val="en-US" w:eastAsia="zh-CN" w:bidi="ar"/>
        </w:rPr>
        <w:t>共有车辆0辆，其中：一般公务用车0辆、执法执勤用车0辆、特种专业技术用车0辆、其他用车0辆。单位价值50万元以上的通用设备0台（套），单位价值100万元以上的专用设备0台（套）。</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楷体" w:eastAsia="仿宋_GB2312" w:cs="仿宋_GB2312"/>
          <w:kern w:val="2"/>
          <w:sz w:val="32"/>
          <w:szCs w:val="32"/>
          <w:lang w:val="en-US" w:eastAsia="zh-CN" w:bidi="ar"/>
        </w:rPr>
        <w:t>2019年部门预算安排购置公务用车0辆，购置费0万元，其中：省部级领导干部用车0辆、一般公务用车0辆、执法执勤用车0辆、特种专业技术用车0辆、其他用车0辆；安排购置单位价值50万元以上的通用设备0台（套），购置费0万元；安排购置单位价值100万元以上专用设备0台（套），购置费0万元。</w:t>
      </w:r>
    </w:p>
    <w:p>
      <w:pPr>
        <w:keepNext w:val="0"/>
        <w:keepLines w:val="0"/>
        <w:widowControl/>
        <w:suppressLineNumbers w:val="0"/>
        <w:adjustRightInd w:val="0"/>
        <w:snapToGrid w:val="0"/>
        <w:spacing w:before="0" w:beforeAutospacing="1" w:after="0" w:afterAutospacing="1" w:line="600" w:lineRule="exact"/>
        <w:ind w:left="0" w:right="0" w:firstLine="643" w:firstLineChars="200"/>
        <w:jc w:val="left"/>
      </w:pPr>
      <w:r>
        <w:rPr>
          <w:rFonts w:hint="default" w:ascii="仿宋_GB2312" w:hAnsi="楷体" w:eastAsia="仿宋_GB2312" w:cs="仿宋_GB2312"/>
          <w:b/>
          <w:kern w:val="2"/>
          <w:sz w:val="32"/>
          <w:szCs w:val="32"/>
          <w:lang w:val="en-US" w:eastAsia="zh-CN" w:bidi="ar"/>
        </w:rPr>
        <w:t>（五）绩效目标设置情况。</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宿州市总工会</w:t>
      </w:r>
      <w:r>
        <w:rPr>
          <w:rFonts w:hint="default" w:ascii="仿宋_GB2312" w:hAnsi="楷体" w:eastAsia="仿宋_GB2312" w:cs="仿宋_GB2312"/>
          <w:kern w:val="2"/>
          <w:sz w:val="32"/>
          <w:szCs w:val="32"/>
          <w:lang w:val="en-US" w:eastAsia="zh-CN" w:bidi="ar"/>
        </w:rPr>
        <w:t>2019年项目支出按规定设置支出绩效目标，其中，部门预算批复了送温暖资金100万元、劳动竞赛专项经费50万元、困难劳模补助资金50万元等3个项目支出绩效目标，涉及一般公共预算财政拨款200万元；其他项目实行部门自评或第三方评价。</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default" w:ascii="仿宋_GB2312" w:hAnsi="仿宋" w:eastAsia="仿宋_GB2312" w:cs="仿宋_GB2312"/>
          <w:kern w:val="2"/>
          <w:sz w:val="32"/>
          <w:szCs w:val="32"/>
          <w:lang w:val="en-US" w:eastAsia="zh-CN" w:bidi="ar"/>
        </w:rPr>
        <w:t>宿州市总工会</w:t>
      </w:r>
      <w:r>
        <w:rPr>
          <w:rFonts w:hint="default" w:ascii="仿宋_GB2312" w:hAnsi="楷体" w:eastAsia="仿宋_GB2312" w:cs="仿宋_GB2312"/>
          <w:kern w:val="2"/>
          <w:sz w:val="32"/>
          <w:szCs w:val="32"/>
          <w:lang w:val="en-US" w:eastAsia="zh-CN" w:bidi="ar"/>
        </w:rPr>
        <w:t>2019年项目支出按规定设置支出绩效目标，实行部门自评或第三方评价。</w:t>
      </w:r>
    </w:p>
    <w:p>
      <w:pPr>
        <w:keepNext w:val="0"/>
        <w:keepLines w:val="0"/>
        <w:widowControl/>
        <w:suppressLineNumbers w:val="0"/>
        <w:adjustRightInd w:val="0"/>
        <w:snapToGrid w:val="0"/>
        <w:spacing w:before="0" w:beforeAutospacing="1" w:after="0" w:afterAutospacing="1" w:line="600" w:lineRule="exact"/>
        <w:ind w:left="0" w:right="0"/>
        <w:jc w:val="center"/>
      </w:pPr>
      <w:r>
        <w:rPr>
          <w:rFonts w:hint="eastAsia" w:ascii="黑体" w:hAnsi="宋体" w:eastAsia="黑体" w:cs="黑体"/>
          <w:kern w:val="2"/>
          <w:sz w:val="36"/>
          <w:szCs w:val="36"/>
          <w:lang w:val="en-US" w:eastAsia="zh-CN" w:bidi="ar"/>
        </w:rPr>
        <w:t>第四部分</w:t>
      </w:r>
      <w:r>
        <w:rPr>
          <w:rFonts w:hint="eastAsia" w:ascii="黑体" w:hAnsi="宋体" w:eastAsia="黑体" w:cs="宋体"/>
          <w:kern w:val="2"/>
          <w:sz w:val="36"/>
          <w:szCs w:val="36"/>
          <w:lang w:val="en-US" w:eastAsia="zh-CN" w:bidi="ar"/>
        </w:rPr>
        <w:t xml:space="preserve"> </w:t>
      </w:r>
      <w:r>
        <w:rPr>
          <w:rFonts w:hint="eastAsia" w:ascii="黑体" w:hAnsi="宋体" w:eastAsia="黑体" w:cs="黑体"/>
          <w:kern w:val="2"/>
          <w:sz w:val="36"/>
          <w:szCs w:val="36"/>
          <w:lang w:val="en-US" w:eastAsia="zh-CN" w:bidi="ar"/>
        </w:rPr>
        <w:t>名词解释</w:t>
      </w:r>
      <w:r>
        <w:rPr>
          <w:rFonts w:hint="eastAsia" w:ascii="黑体" w:hAnsi="宋体" w:eastAsia="黑体" w:cs="黑体"/>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600" w:lineRule="exact"/>
        <w:ind w:left="0" w:right="0" w:firstLine="640" w:firstLineChars="200"/>
        <w:jc w:val="left"/>
      </w:pPr>
      <w:r>
        <w:rPr>
          <w:rFonts w:hint="eastAsia" w:ascii="黑体" w:hAnsi="宋体" w:eastAsia="黑体" w:cs="黑体"/>
          <w:kern w:val="2"/>
          <w:sz w:val="32"/>
          <w:szCs w:val="32"/>
          <w:lang w:val="en-US" w:eastAsia="zh-CN" w:bidi="ar"/>
        </w:rPr>
        <w:t>一、财政拨款收入</w:t>
      </w:r>
      <w:r>
        <w:rPr>
          <w:rFonts w:hint="default" w:ascii="仿宋_GB2312" w:hAnsi="仿宋" w:eastAsia="仿宋_GB2312" w:cs="仿宋_GB2312"/>
          <w:b/>
          <w:kern w:val="2"/>
          <w:sz w:val="32"/>
          <w:szCs w:val="32"/>
          <w:lang w:val="en-US" w:eastAsia="zh-CN" w:bidi="ar"/>
        </w:rPr>
        <w:t>：</w:t>
      </w:r>
      <w:r>
        <w:rPr>
          <w:rFonts w:hint="default" w:ascii="仿宋_GB2312" w:hAnsi="仿宋" w:eastAsia="仿宋_GB2312" w:cs="仿宋_GB2312"/>
          <w:kern w:val="2"/>
          <w:sz w:val="32"/>
          <w:szCs w:val="32"/>
          <w:lang w:val="en-US" w:eastAsia="zh-CN" w:bidi="ar"/>
        </w:rPr>
        <w:t>指市财政当年拨付的资金，主要包括一般公共预算拨款收入、政府性基金预算拨款收入、国有资本经营预算拨款收入。</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eastAsia" w:ascii="黑体" w:hAnsi="宋体" w:eastAsia="黑体" w:cs="黑体"/>
          <w:kern w:val="0"/>
          <w:sz w:val="32"/>
          <w:szCs w:val="32"/>
        </w:rPr>
        <w:t>二、财政专户管理非税收入：</w:t>
      </w:r>
      <w:r>
        <w:rPr>
          <w:rFonts w:hint="default" w:ascii="仿宋_GB2312" w:hAnsi="仿宋" w:eastAsia="仿宋_GB2312" w:cs="仿宋_GB2312"/>
          <w:kern w:val="2"/>
          <w:sz w:val="32"/>
          <w:szCs w:val="32"/>
        </w:rPr>
        <w:t>指按照非税收入管理相关规定，纳入财政专户管理的教育收费等。</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eastAsia" w:ascii="黑体" w:hAnsi="宋体" w:eastAsia="黑体" w:cs="黑体"/>
          <w:kern w:val="0"/>
          <w:sz w:val="32"/>
          <w:szCs w:val="32"/>
        </w:rPr>
        <w:t>三、其他收入：</w:t>
      </w:r>
      <w:r>
        <w:rPr>
          <w:rFonts w:hint="default" w:ascii="仿宋_GB2312" w:hAnsi="仿宋" w:eastAsia="仿宋_GB2312" w:cs="仿宋_GB2312"/>
          <w:kern w:val="2"/>
          <w:sz w:val="32"/>
          <w:szCs w:val="32"/>
        </w:rPr>
        <w:t>指除了财政拨款收入、财政专户管理非税收入等以外的收入。</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eastAsia" w:ascii="黑体" w:hAnsi="宋体" w:eastAsia="黑体" w:cs="黑体"/>
          <w:kern w:val="0"/>
          <w:sz w:val="32"/>
          <w:szCs w:val="32"/>
        </w:rPr>
        <w:t>四、上年结转：</w:t>
      </w:r>
      <w:r>
        <w:rPr>
          <w:rFonts w:hint="default" w:ascii="仿宋_GB2312" w:hAnsi="仿宋" w:eastAsia="仿宋_GB2312" w:cs="仿宋_GB2312"/>
          <w:kern w:val="2"/>
          <w:sz w:val="32"/>
          <w:szCs w:val="32"/>
        </w:rPr>
        <w:t>指以前年度安排、结转到本年仍按原用途继续使用的资金。</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eastAsia" w:ascii="黑体" w:hAnsi="宋体" w:eastAsia="黑体" w:cs="黑体"/>
          <w:kern w:val="0"/>
          <w:sz w:val="32"/>
          <w:szCs w:val="32"/>
        </w:rPr>
        <w:t>五、结转下年：</w:t>
      </w:r>
      <w:r>
        <w:rPr>
          <w:rFonts w:hint="default" w:ascii="仿宋_GB2312" w:hAnsi="仿宋" w:eastAsia="仿宋_GB2312" w:cs="仿宋_GB2312"/>
          <w:kern w:val="2"/>
          <w:sz w:val="32"/>
          <w:szCs w:val="32"/>
        </w:rPr>
        <w:t>指以前年度预算安排、因客观条件发生变化无法按原计划实施，需以后年度按原用途继续使用的资金。</w:t>
      </w:r>
    </w:p>
    <w:p>
      <w:pPr>
        <w:pStyle w:val="2"/>
        <w:keepNext w:val="0"/>
        <w:keepLines w:val="0"/>
        <w:widowControl/>
        <w:suppressLineNumbers w:val="0"/>
        <w:adjustRightInd w:val="0"/>
        <w:snapToGrid w:val="0"/>
        <w:spacing w:before="0" w:beforeAutospacing="0" w:after="0" w:afterAutospacing="0" w:line="600" w:lineRule="exact"/>
        <w:ind w:left="0" w:right="0" w:firstLine="627" w:firstLineChars="196"/>
      </w:pPr>
      <w:r>
        <w:rPr>
          <w:rFonts w:hint="eastAsia" w:ascii="黑体" w:hAnsi="宋体" w:eastAsia="黑体" w:cs="黑体"/>
          <w:kern w:val="0"/>
          <w:sz w:val="32"/>
          <w:szCs w:val="32"/>
        </w:rPr>
        <w:t>六、基本支出</w:t>
      </w:r>
      <w:r>
        <w:rPr>
          <w:rFonts w:hint="default" w:ascii="仿宋_GB2312" w:hAnsi="宋体" w:eastAsia="仿宋_GB2312" w:cs="仿宋_GB2312"/>
          <w:b/>
          <w:kern w:val="0"/>
          <w:sz w:val="32"/>
          <w:szCs w:val="32"/>
        </w:rPr>
        <w:t>：</w:t>
      </w:r>
      <w:r>
        <w:rPr>
          <w:rFonts w:hint="default" w:ascii="仿宋_GB2312" w:hAnsi="宋体" w:eastAsia="仿宋_GB2312" w:cs="仿宋_GB2312"/>
          <w:kern w:val="0"/>
          <w:sz w:val="32"/>
          <w:szCs w:val="32"/>
        </w:rPr>
        <w:t>指为保障机构正常运转、完成日常工作任务而发生的人员支出和公用支出。</w:t>
      </w:r>
    </w:p>
    <w:p>
      <w:pPr>
        <w:pStyle w:val="2"/>
        <w:keepNext w:val="0"/>
        <w:keepLines w:val="0"/>
        <w:widowControl/>
        <w:suppressLineNumbers w:val="0"/>
        <w:spacing w:before="0" w:beforeAutospacing="0" w:after="0" w:afterAutospacing="0" w:line="600" w:lineRule="exact"/>
        <w:ind w:left="0" w:right="0" w:firstLine="627" w:firstLineChars="196"/>
        <w:jc w:val="both"/>
        <w:rPr>
          <w:rFonts w:hint="eastAsia" w:ascii="仿宋_GB2312" w:hAnsi="宋体" w:eastAsia="仿宋_GB2312" w:cs="仿宋_GB2312"/>
          <w:kern w:val="0"/>
          <w:sz w:val="32"/>
          <w:szCs w:val="32"/>
          <w:lang w:eastAsia="zh-CN"/>
        </w:rPr>
      </w:pPr>
      <w:r>
        <w:rPr>
          <w:rFonts w:hint="eastAsia" w:ascii="黑体" w:hAnsi="宋体" w:eastAsia="黑体" w:cs="黑体"/>
          <w:kern w:val="0"/>
          <w:sz w:val="32"/>
          <w:szCs w:val="32"/>
        </w:rPr>
        <w:t>七、项目支出</w:t>
      </w:r>
      <w:r>
        <w:rPr>
          <w:rFonts w:hint="default" w:ascii="仿宋_GB2312" w:hAnsi="宋体" w:eastAsia="仿宋_GB2312" w:cs="仿宋_GB2312"/>
          <w:b/>
          <w:kern w:val="0"/>
          <w:sz w:val="32"/>
          <w:szCs w:val="32"/>
        </w:rPr>
        <w:t>：</w:t>
      </w:r>
      <w:r>
        <w:rPr>
          <w:rFonts w:hint="default" w:ascii="仿宋_GB2312" w:hAnsi="宋体" w:eastAsia="仿宋_GB2312" w:cs="仿宋_GB2312"/>
          <w:kern w:val="0"/>
          <w:sz w:val="32"/>
          <w:szCs w:val="32"/>
        </w:rPr>
        <w:t>指在基本支出之外为完成特定行政任务和事业发展目标所发生的支出。</w:t>
      </w:r>
    </w:p>
    <w:p>
      <w:pPr>
        <w:pStyle w:val="2"/>
        <w:keepNext w:val="0"/>
        <w:keepLines w:val="0"/>
        <w:widowControl/>
        <w:suppressLineNumbers w:val="0"/>
        <w:spacing w:before="0" w:beforeAutospacing="0" w:after="0" w:afterAutospacing="0" w:line="600" w:lineRule="exact"/>
        <w:ind w:left="0" w:right="0" w:firstLine="627" w:firstLineChars="196"/>
        <w:jc w:val="both"/>
      </w:pPr>
      <w:r>
        <w:rPr>
          <w:rFonts w:hint="default" w:ascii="仿宋_GB2312" w:hAnsi="宋体" w:eastAsia="仿宋_GB2312" w:cs="宋体"/>
          <w:kern w:val="0"/>
          <w:sz w:val="32"/>
          <w:szCs w:val="32"/>
        </w:rPr>
        <w:t xml:space="preserve">   </w:t>
      </w:r>
      <w:r>
        <w:rPr>
          <w:rFonts w:hint="eastAsia" w:ascii="黑体" w:hAnsi="宋体" w:eastAsia="黑体" w:cs="宋体"/>
          <w:kern w:val="0"/>
          <w:sz w:val="32"/>
          <w:szCs w:val="32"/>
        </w:rPr>
        <w:t xml:space="preserve"> </w:t>
      </w:r>
      <w:r>
        <w:rPr>
          <w:rFonts w:hint="eastAsia" w:ascii="黑体" w:hAnsi="宋体" w:eastAsia="黑体" w:cs="黑体"/>
          <w:kern w:val="0"/>
          <w:sz w:val="32"/>
          <w:szCs w:val="32"/>
        </w:rPr>
        <w:t>八、</w:t>
      </w:r>
      <w:r>
        <w:rPr>
          <w:rFonts w:hint="eastAsia" w:ascii="黑体" w:hAnsi="宋体" w:eastAsia="黑体" w:cs="宋体"/>
          <w:kern w:val="0"/>
          <w:sz w:val="32"/>
          <w:szCs w:val="32"/>
        </w:rPr>
        <w:t>“三公”经费：</w:t>
      </w:r>
      <w:r>
        <w:rPr>
          <w:rFonts w:hint="default" w:ascii="仿宋_GB2312" w:hAnsi="宋体" w:eastAsia="仿宋_GB2312" w:cs="仿宋_GB2312"/>
          <w:kern w:val="0"/>
          <w:sz w:val="32"/>
          <w:szCs w:val="32"/>
        </w:rPr>
        <w:t>纳入财政预决算管理的</w:t>
      </w:r>
      <w:r>
        <w:rPr>
          <w:rFonts w:hint="default" w:ascii="仿宋_GB2312" w:hAnsi="宋体" w:eastAsia="仿宋_GB2312" w:cs="宋体"/>
          <w:kern w:val="0"/>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hint="default" w:ascii="仿宋_GB2312" w:hAnsi="宋体" w:eastAsia="仿宋_GB2312" w:cs="仿宋_GB2312"/>
          <w:kern w:val="0"/>
          <w:sz w:val="32"/>
          <w:szCs w:val="32"/>
        </w:rPr>
        <w:t>）支出。</w:t>
      </w:r>
    </w:p>
    <w:p>
      <w:pPr>
        <w:pStyle w:val="2"/>
        <w:keepNext w:val="0"/>
        <w:keepLines w:val="0"/>
        <w:widowControl/>
        <w:suppressLineNumbers w:val="0"/>
        <w:adjustRightInd w:val="0"/>
        <w:snapToGrid w:val="0"/>
        <w:spacing w:before="0" w:beforeAutospacing="0" w:after="0" w:afterAutospacing="0" w:line="600" w:lineRule="exact"/>
        <w:ind w:left="0" w:right="0"/>
        <w:jc w:val="center"/>
      </w:pPr>
      <w:r>
        <w:rPr>
          <w:rFonts w:hint="eastAsia" w:ascii="黑体" w:hAnsi="Times New Roman" w:eastAsia="黑体" w:cs="宋体"/>
          <w:kern w:val="2"/>
          <w:sz w:val="32"/>
          <w:szCs w:val="32"/>
        </w:rPr>
        <w:t xml:space="preserve"> </w:t>
      </w:r>
    </w:p>
    <w:p>
      <w:pPr>
        <w:pStyle w:val="2"/>
        <w:keepNext w:val="0"/>
        <w:keepLines w:val="0"/>
        <w:widowControl/>
        <w:suppressLineNumbers w:val="0"/>
        <w:adjustRightInd w:val="0"/>
        <w:snapToGrid w:val="0"/>
        <w:spacing w:before="0" w:beforeAutospacing="0" w:after="0" w:afterAutospacing="0" w:line="600" w:lineRule="exact"/>
        <w:ind w:left="0" w:right="0"/>
        <w:jc w:val="center"/>
      </w:pPr>
      <w:r>
        <w:rPr>
          <w:rFonts w:hint="eastAsia" w:ascii="黑体" w:hAnsi="Times New Roman" w:eastAsia="黑体" w:cs="宋体"/>
          <w:kern w:val="2"/>
          <w:sz w:val="36"/>
          <w:szCs w:val="36"/>
        </w:rPr>
        <w:t xml:space="preserve"> </w:t>
      </w:r>
    </w:p>
    <w:p>
      <w:pPr>
        <w:pStyle w:val="2"/>
        <w:keepNext w:val="0"/>
        <w:keepLines w:val="0"/>
        <w:widowControl/>
        <w:suppressLineNumbers w:val="0"/>
        <w:spacing w:before="0" w:beforeAutospacing="0" w:after="0" w:afterAutospacing="0" w:line="600" w:lineRule="exact"/>
        <w:ind w:left="0" w:right="0"/>
        <w:jc w:val="center"/>
      </w:pPr>
      <w:r>
        <w:rPr>
          <w:rFonts w:hint="eastAsia" w:ascii="黑体" w:hAnsi="宋体" w:eastAsia="黑体" w:cs="黑体"/>
          <w:b/>
          <w:color w:val="000000"/>
          <w:sz w:val="36"/>
          <w:szCs w:val="36"/>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MTMzNjdhNTgzOWMyMzAyMWViNTMyNDFhMzJjNmUifQ=="/>
  </w:docVars>
  <w:rsids>
    <w:rsidRoot w:val="00000000"/>
    <w:rsid w:val="045036FA"/>
    <w:rsid w:val="1FA66F8C"/>
    <w:rsid w:val="2815283D"/>
    <w:rsid w:val="34360809"/>
    <w:rsid w:val="3567298F"/>
    <w:rsid w:val="37224CC8"/>
    <w:rsid w:val="3F0C3B6E"/>
    <w:rsid w:val="48431930"/>
    <w:rsid w:val="51A1537C"/>
    <w:rsid w:val="58B53625"/>
    <w:rsid w:val="5A5D085E"/>
    <w:rsid w:val="5AAD55E7"/>
    <w:rsid w:val="5E41257A"/>
    <w:rsid w:val="684643FA"/>
    <w:rsid w:val="74DF119A"/>
    <w:rsid w:val="7DE01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12229</Words>
  <Characters>13808</Characters>
  <Lines>0</Lines>
  <Paragraphs>0</Paragraphs>
  <TotalTime>8</TotalTime>
  <ScaleCrop>false</ScaleCrop>
  <LinksUpToDate>false</LinksUpToDate>
  <CharactersWithSpaces>15012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拟稿步骤刘莹莹于</cp:lastModifiedBy>
  <dcterms:modified xsi:type="dcterms:W3CDTF">2023-08-15T09:21:40Z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AD0DFB541CEC41C094B40E389DF07B0D_12</vt:lpwstr>
  </property>
</Properties>
</file>