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“我向医保吐吐槽”留言办理情况表</w:t>
      </w:r>
    </w:p>
    <w:p>
      <w:pPr>
        <w:jc w:val="center"/>
        <w:rPr>
          <w:rFonts w:hint="eastAsia"/>
          <w:sz w:val="30"/>
          <w:szCs w:val="30"/>
        </w:rPr>
      </w:pPr>
      <w:r>
        <w:rPr>
          <w:sz w:val="30"/>
          <w:szCs w:val="30"/>
        </w:rPr>
        <w:t>(2023</w:t>
      </w:r>
      <w:r>
        <w:rPr>
          <w:rFonts w:hint="eastAsia"/>
          <w:sz w:val="30"/>
          <w:szCs w:val="30"/>
        </w:rPr>
        <w:t>年</w:t>
      </w:r>
      <w:r>
        <w:rPr>
          <w:sz w:val="30"/>
          <w:szCs w:val="30"/>
        </w:rPr>
        <w:t>5</w:t>
      </w:r>
      <w:r>
        <w:rPr>
          <w:rFonts w:hint="eastAsia"/>
          <w:sz w:val="30"/>
          <w:szCs w:val="30"/>
        </w:rPr>
        <w:t>月1</w:t>
      </w:r>
      <w:r>
        <w:rPr>
          <w:rFonts w:hint="eastAsia"/>
          <w:sz w:val="30"/>
          <w:szCs w:val="30"/>
          <w:lang w:val="en-US" w:eastAsia="zh-CN"/>
        </w:rPr>
        <w:t>6</w:t>
      </w:r>
      <w:r>
        <w:rPr>
          <w:rFonts w:hint="eastAsia"/>
          <w:sz w:val="30"/>
          <w:szCs w:val="30"/>
        </w:rPr>
        <w:t>日</w:t>
      </w:r>
      <w:r>
        <w:rPr>
          <w:sz w:val="30"/>
          <w:szCs w:val="30"/>
        </w:rPr>
        <w:t>)</w:t>
      </w:r>
    </w:p>
    <w:tbl>
      <w:tblPr>
        <w:tblStyle w:val="2"/>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78"/>
        <w:gridCol w:w="1084"/>
        <w:gridCol w:w="2478"/>
        <w:gridCol w:w="3255"/>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b/>
                <w:bCs/>
                <w:sz w:val="22"/>
              </w:rPr>
            </w:pPr>
            <w:r>
              <w:rPr>
                <w:rFonts w:hint="eastAsia"/>
                <w:b/>
                <w:bCs/>
                <w:sz w:val="22"/>
              </w:rPr>
              <w:t>序号</w:t>
            </w:r>
          </w:p>
        </w:tc>
        <w:tc>
          <w:tcPr>
            <w:tcW w:w="11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b/>
                <w:bCs/>
                <w:sz w:val="22"/>
              </w:rPr>
            </w:pPr>
            <w:r>
              <w:rPr>
                <w:rFonts w:hint="eastAsia"/>
                <w:b/>
                <w:bCs/>
                <w:sz w:val="22"/>
              </w:rPr>
              <w:t>留言人</w:t>
            </w:r>
          </w:p>
        </w:tc>
        <w:tc>
          <w:tcPr>
            <w:tcW w:w="10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b/>
                <w:bCs/>
                <w:sz w:val="22"/>
              </w:rPr>
            </w:pPr>
            <w:r>
              <w:rPr>
                <w:rFonts w:hint="eastAsia"/>
                <w:b/>
                <w:bCs/>
                <w:sz w:val="22"/>
              </w:rPr>
              <w:t>事项类别</w:t>
            </w:r>
          </w:p>
        </w:tc>
        <w:tc>
          <w:tcPr>
            <w:tcW w:w="24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b/>
                <w:bCs/>
                <w:sz w:val="22"/>
              </w:rPr>
            </w:pPr>
            <w:r>
              <w:rPr>
                <w:rFonts w:hint="eastAsia"/>
                <w:b/>
                <w:bCs/>
                <w:sz w:val="22"/>
              </w:rPr>
              <w:t>留言概况</w:t>
            </w:r>
          </w:p>
        </w:tc>
        <w:tc>
          <w:tcPr>
            <w:tcW w:w="32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b/>
                <w:bCs/>
                <w:sz w:val="22"/>
              </w:rPr>
            </w:pPr>
            <w:r>
              <w:rPr>
                <w:rFonts w:hint="eastAsia"/>
                <w:b/>
                <w:bCs/>
                <w:sz w:val="22"/>
              </w:rPr>
              <w:t>办理意见</w:t>
            </w:r>
          </w:p>
        </w:tc>
        <w:tc>
          <w:tcPr>
            <w:tcW w:w="8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b/>
                <w:bCs/>
                <w:sz w:val="22"/>
              </w:rPr>
            </w:pPr>
            <w:r>
              <w:rPr>
                <w:rFonts w:hint="eastAsia"/>
                <w:b/>
                <w:bCs/>
                <w:sz w:val="22"/>
              </w:rPr>
              <w:t>办理结果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5" w:type="dxa"/>
            <w:gridSpan w:val="6"/>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rPr>
                <w:sz w:val="22"/>
              </w:rPr>
            </w:pPr>
            <w:r>
              <w:rPr>
                <w:rFonts w:hint="eastAsia" w:ascii="方正黑体_GBK" w:hAnsi="方正黑体_GBK" w:eastAsia="方正黑体_GBK" w:cs="方正黑体_GBK"/>
                <w:sz w:val="22"/>
              </w:rPr>
              <w:t>一、局长信箱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sz w:val="22"/>
              </w:rPr>
            </w:pPr>
            <w:r>
              <w:rPr>
                <w:sz w:val="22"/>
              </w:rPr>
              <w:t>1</w:t>
            </w:r>
          </w:p>
        </w:tc>
        <w:tc>
          <w:tcPr>
            <w:tcW w:w="11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0</w:t>
            </w:r>
          </w:p>
        </w:tc>
        <w:tc>
          <w:tcPr>
            <w:tcW w:w="10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sz w:val="22"/>
              </w:rPr>
            </w:pPr>
          </w:p>
        </w:tc>
        <w:tc>
          <w:tcPr>
            <w:tcW w:w="24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napToGrid w:val="0"/>
              <w:rPr>
                <w:sz w:val="22"/>
              </w:rPr>
            </w:pPr>
          </w:p>
        </w:tc>
        <w:tc>
          <w:tcPr>
            <w:tcW w:w="32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sz w:val="22"/>
              </w:rPr>
            </w:pPr>
          </w:p>
        </w:tc>
        <w:tc>
          <w:tcPr>
            <w:tcW w:w="8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5" w:type="dxa"/>
            <w:gridSpan w:val="6"/>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left"/>
              <w:rPr>
                <w:b/>
                <w:sz w:val="22"/>
              </w:rPr>
            </w:pPr>
            <w:r>
              <w:rPr>
                <w:rFonts w:hint="eastAsia"/>
                <w:b/>
                <w:sz w:val="22"/>
              </w:rPr>
              <w:t>二、微信公众号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hint="eastAsia"/>
                <w:sz w:val="22"/>
              </w:rPr>
              <w:t>1</w:t>
            </w:r>
          </w:p>
        </w:tc>
        <w:tc>
          <w:tcPr>
            <w:tcW w:w="11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ascii="Helvetica" w:hAnsi="Helvetica" w:eastAsia="Helvetica" w:cs="Helvetica"/>
                <w:b w:val="0"/>
                <w:bCs w:val="0"/>
                <w:i w:val="0"/>
                <w:iCs w:val="0"/>
                <w:caps w:val="0"/>
                <w:color w:val="333333"/>
                <w:spacing w:val="0"/>
                <w:sz w:val="21"/>
                <w:szCs w:val="21"/>
                <w:shd w:val="clear" w:fill="F7F7F7"/>
              </w:rPr>
              <w:t>秋末微凉</w:t>
            </w:r>
          </w:p>
        </w:tc>
        <w:tc>
          <w:tcPr>
            <w:tcW w:w="10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咨询</w:t>
            </w:r>
          </w:p>
        </w:tc>
        <w:tc>
          <w:tcPr>
            <w:tcW w:w="24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napToGrid w:val="0"/>
              <w:jc w:val="center"/>
              <w:rPr>
                <w:sz w:val="22"/>
              </w:rPr>
            </w:pPr>
            <w:r>
              <w:rPr>
                <w:rFonts w:ascii="Helvetica" w:hAnsi="Helvetica" w:eastAsia="Helvetica" w:cs="Helvetica"/>
                <w:b w:val="0"/>
                <w:bCs w:val="0"/>
                <w:i w:val="0"/>
                <w:iCs w:val="0"/>
                <w:caps w:val="0"/>
                <w:color w:val="333333"/>
                <w:spacing w:val="0"/>
                <w:sz w:val="21"/>
                <w:szCs w:val="21"/>
                <w:shd w:val="clear" w:fill="FFFFFF"/>
              </w:rPr>
              <w:t>异地就医备案后门诊为什么不报销</w:t>
            </w:r>
            <w:r>
              <w:rPr>
                <w:rFonts w:hint="eastAsia" w:ascii="Helvetica" w:hAnsi="Helvetica" w:cs="Helvetica"/>
                <w:b w:val="0"/>
                <w:bCs w:val="0"/>
                <w:i w:val="0"/>
                <w:iCs w:val="0"/>
                <w:caps w:val="0"/>
                <w:color w:val="333333"/>
                <w:spacing w:val="0"/>
                <w:sz w:val="21"/>
                <w:szCs w:val="21"/>
                <w:shd w:val="clear" w:fill="FFFFFF"/>
                <w:lang w:eastAsia="zh-CN"/>
              </w:rPr>
              <w:t>；</w:t>
            </w:r>
            <w:r>
              <w:rPr>
                <w:rFonts w:ascii="Helvetica" w:hAnsi="Helvetica" w:eastAsia="Helvetica" w:cs="Helvetica"/>
                <w:b w:val="0"/>
                <w:bCs w:val="0"/>
                <w:i w:val="0"/>
                <w:iCs w:val="0"/>
                <w:caps w:val="0"/>
                <w:color w:val="333333"/>
                <w:spacing w:val="0"/>
                <w:sz w:val="21"/>
                <w:szCs w:val="21"/>
                <w:shd w:val="clear" w:fill="FFFFFF"/>
              </w:rPr>
              <w:t>异地就医为什么要备案，不能一网通办</w:t>
            </w:r>
          </w:p>
        </w:tc>
        <w:tc>
          <w:tcPr>
            <w:tcW w:w="32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left"/>
              <w:rPr>
                <w:rFonts w:hint="eastAsia"/>
                <w:sz w:val="22"/>
              </w:rPr>
            </w:pPr>
            <w:r>
              <w:rPr>
                <w:rStyle w:val="3"/>
                <w:rFonts w:hint="eastAsia" w:ascii="宋体" w:hAnsi="宋体" w:cs="宋体"/>
                <w:b w:val="0"/>
                <w:bCs w:val="0"/>
                <w:color w:val="000000"/>
                <w:kern w:val="2"/>
                <w:sz w:val="21"/>
                <w:szCs w:val="21"/>
                <w:lang w:val="en-US" w:eastAsia="zh-CN" w:bidi="ar-SA"/>
              </w:rPr>
              <w:t>您好：根据您问的问题现回答如下，1.根据《宿州市医疗保障局 宿州市财政局关于印发宿州市基本医疗保险跨省异地就医直接结算实施细则（试行）的通知（宿医保秘〔2022〕34号）》文件：办理临时外出就医人员备案的参保职工，在异地定点医疗机构发生的普通门诊费用由个人负担。实现异地联网门诊直接结算的医疗机构发生的普通门诊费用，可由个人账户资金直接结算。对于办理过异地长期居住备案手续的参保职工，可以在备案地享受普通门诊保障待遇，按照参保地医保报销政策执行。2.需要异地就医备案是因为需要先给您的参保地提供相关信息让参保地知道您去某个地方进行就医，可直接通过异地就医信息系统直接结算医疗费用。异地就医实现直接结算，解决了参保患者“垫资压力大、来回奔波苦、结算时间长”等难点和堵点问题</w:t>
            </w:r>
          </w:p>
        </w:tc>
        <w:tc>
          <w:tcPr>
            <w:tcW w:w="8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eastAsiaTheme="minorEastAsia"/>
                <w:sz w:val="22"/>
                <w:lang w:val="en-US" w:eastAsia="zh-CN"/>
              </w:rPr>
            </w:pPr>
            <w:r>
              <w:rPr>
                <w:rFonts w:hint="eastAsia"/>
                <w:sz w:val="22"/>
                <w:lang w:val="en-US" w:eastAsia="zh-CN"/>
              </w:rPr>
              <w:t>已办结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hint="eastAsia"/>
                <w:sz w:val="22"/>
              </w:rPr>
              <w:t>2</w:t>
            </w:r>
          </w:p>
        </w:tc>
        <w:tc>
          <w:tcPr>
            <w:tcW w:w="11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ascii="Helvetica" w:hAnsi="Helvetica" w:eastAsia="Helvetica" w:cs="Helvetica"/>
                <w:b w:val="0"/>
                <w:bCs w:val="0"/>
                <w:i w:val="0"/>
                <w:iCs w:val="0"/>
                <w:caps w:val="0"/>
                <w:color w:val="333333"/>
                <w:spacing w:val="0"/>
                <w:sz w:val="21"/>
                <w:szCs w:val="21"/>
                <w:shd w:val="clear" w:fill="F7F7F7"/>
              </w:rPr>
              <w:t>毛球</w:t>
            </w:r>
          </w:p>
        </w:tc>
        <w:tc>
          <w:tcPr>
            <w:tcW w:w="10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咨询</w:t>
            </w:r>
          </w:p>
        </w:tc>
        <w:tc>
          <w:tcPr>
            <w:tcW w:w="24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tLeast"/>
              <w:ind w:left="150" w:right="150" w:firstLine="0"/>
              <w:jc w:val="both"/>
              <w:rPr>
                <w:rFonts w:ascii="Helvetica" w:hAnsi="Helvetica" w:eastAsia="Helvetica" w:cs="Helvetica"/>
                <w:b w:val="0"/>
                <w:bCs w:val="0"/>
                <w:i w:val="0"/>
                <w:iCs w:val="0"/>
                <w:caps w:val="0"/>
                <w:color w:val="333333"/>
                <w:spacing w:val="0"/>
                <w:sz w:val="21"/>
                <w:szCs w:val="21"/>
              </w:rPr>
            </w:pPr>
            <w:r>
              <w:rPr>
                <w:rFonts w:hint="default" w:ascii="Helvetica" w:hAnsi="Helvetica" w:eastAsia="Helvetica" w:cs="Helvetica"/>
                <w:b w:val="0"/>
                <w:bCs w:val="0"/>
                <w:i w:val="0"/>
                <w:iCs w:val="0"/>
                <w:caps w:val="0"/>
                <w:color w:val="333333"/>
                <w:spacing w:val="0"/>
                <w:kern w:val="0"/>
                <w:sz w:val="21"/>
                <w:szCs w:val="21"/>
                <w:shd w:val="clear" w:fill="FFFFFF"/>
                <w:lang w:val="en-US" w:eastAsia="zh-CN" w:bidi="ar"/>
              </w:rPr>
              <w:t>每年都交，算是漏了一次，意思是缴费时候窗口关闭，但是缴费成功了，只是不享受漏缴期间医保报销。 在这段没有续费的时间里，生了大病，医保不报销。本来医保范围内报销就很少，是属于一年一丢的医保吧？</w:t>
            </w:r>
          </w:p>
          <w:p>
            <w:pPr>
              <w:snapToGrid w:val="0"/>
              <w:jc w:val="center"/>
              <w:rPr>
                <w:sz w:val="22"/>
              </w:rPr>
            </w:pPr>
          </w:p>
        </w:tc>
        <w:tc>
          <w:tcPr>
            <w:tcW w:w="32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left"/>
              <w:rPr>
                <w:rFonts w:hint="eastAsia"/>
                <w:sz w:val="22"/>
              </w:rPr>
            </w:pPr>
            <w:r>
              <w:rPr>
                <w:rFonts w:hint="eastAsia"/>
                <w:sz w:val="22"/>
              </w:rPr>
              <w:t>您好，关于您微信公众号上吐槽的医保问题，经过我们认真研究，现回复如下： 按照《宿州市人民政府办公室关于做好2023年城乡居民基本医疗保险征缴工作的通知》（秘函〔2022〕16号）文件规定：居民医保实行按年度集中参保。居民医保依法实行按年度参保缴费、享受待遇，原则上在2022年12月31日前完成2023年度居民医保集中参保缴费，待遇享受起止时间为2023年1月1日－12月31日。鉴于外出务工人员春节返乡的实际，该群体的筹资时间可延长到2023年2月底。 已连续2年（含2年）以上参加职工基本医疗保险（不含补缴）因就业等个人状态变化中断缴费且中断缴费不超过3个月的参保人员，当年退出现役的军人及随迁的由部队保障的随军未就业配偶，动态新增的特困人员、低保对象、返贫致贫人口等救助对象，以及刑满释放等退出其他制度保障的人员，在居民医保集中参保缴费期结束后可按规定补办居民医保参保手续，自参保缴费次日起享受待遇。 2023年5月16日</w:t>
            </w:r>
          </w:p>
        </w:tc>
        <w:tc>
          <w:tcPr>
            <w:tcW w:w="8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已办结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3</w:t>
            </w:r>
          </w:p>
        </w:tc>
        <w:tc>
          <w:tcPr>
            <w:tcW w:w="11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ascii="Helvetica" w:hAnsi="Helvetica" w:eastAsia="Helvetica" w:cs="Helvetica"/>
                <w:b w:val="0"/>
                <w:bCs w:val="0"/>
                <w:i w:val="0"/>
                <w:iCs w:val="0"/>
                <w:caps w:val="0"/>
                <w:color w:val="333333"/>
                <w:spacing w:val="0"/>
                <w:sz w:val="21"/>
                <w:szCs w:val="21"/>
                <w:shd w:val="clear" w:fill="F7F7F7"/>
              </w:rPr>
              <w:t>5151</w:t>
            </w:r>
          </w:p>
        </w:tc>
        <w:tc>
          <w:tcPr>
            <w:tcW w:w="10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咨询</w:t>
            </w:r>
          </w:p>
        </w:tc>
        <w:tc>
          <w:tcPr>
            <w:tcW w:w="24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napToGrid w:val="0"/>
              <w:jc w:val="center"/>
              <w:rPr>
                <w:sz w:val="22"/>
              </w:rPr>
            </w:pPr>
            <w:r>
              <w:rPr>
                <w:rFonts w:ascii="Helvetica" w:hAnsi="Helvetica" w:eastAsia="Helvetica" w:cs="Helvetica"/>
                <w:b w:val="0"/>
                <w:bCs w:val="0"/>
                <w:i w:val="0"/>
                <w:iCs w:val="0"/>
                <w:caps w:val="0"/>
                <w:color w:val="333333"/>
                <w:spacing w:val="0"/>
                <w:sz w:val="21"/>
                <w:szCs w:val="21"/>
                <w:shd w:val="clear" w:fill="FFFFFF"/>
              </w:rPr>
              <w:t>安徽其他地方比如马鞍山市跨省门诊就医都可以异地备案并且报销，为什么宿州只能在宿州市内门诊才能报销，是政策普及不到位吗</w:t>
            </w:r>
            <w:bookmarkStart w:id="0" w:name="_GoBack"/>
            <w:bookmarkEnd w:id="0"/>
          </w:p>
        </w:tc>
        <w:tc>
          <w:tcPr>
            <w:tcW w:w="32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left"/>
              <w:rPr>
                <w:rFonts w:hint="eastAsia"/>
                <w:sz w:val="22"/>
              </w:rPr>
            </w:pPr>
            <w:r>
              <w:rPr>
                <w:rFonts w:hint="eastAsia"/>
                <w:sz w:val="22"/>
              </w:rPr>
              <w:t>您好：根据您问的问题现回答如下，根据《宿州市医疗保障局 宿州市财政局关于印发宿州市基本医疗保险跨省异地就医直接结算实施细则（试行）的通知（宿医保秘〔2022〕34号）》文件：办理临时外出就医人员备案的参保职工，在异地定点医疗机构发生的普通门诊费用由个人负担。实现异地联网门诊直接结算的医疗机构发生的普通门诊费用，可由个人账户资金直接结算。对于办理过异地长期居住备案手续的参保职工，可以在备案地享受普通门诊保障待遇，按照参保地医保报销政策执行。</w:t>
            </w:r>
          </w:p>
        </w:tc>
        <w:tc>
          <w:tcPr>
            <w:tcW w:w="8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已办结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4</w:t>
            </w:r>
          </w:p>
        </w:tc>
        <w:tc>
          <w:tcPr>
            <w:tcW w:w="11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ascii="Helvetica" w:hAnsi="Helvetica" w:eastAsia="Helvetica" w:cs="Helvetica"/>
                <w:b w:val="0"/>
                <w:bCs w:val="0"/>
                <w:i w:val="0"/>
                <w:iCs w:val="0"/>
                <w:caps w:val="0"/>
                <w:color w:val="333333"/>
                <w:spacing w:val="0"/>
                <w:sz w:val="21"/>
                <w:szCs w:val="21"/>
                <w:shd w:val="clear" w:fill="F7F7F7"/>
              </w:rPr>
              <w:t>李慧</w:t>
            </w:r>
          </w:p>
        </w:tc>
        <w:tc>
          <w:tcPr>
            <w:tcW w:w="10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咨询</w:t>
            </w:r>
          </w:p>
        </w:tc>
        <w:tc>
          <w:tcPr>
            <w:tcW w:w="24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napToGrid w:val="0"/>
              <w:jc w:val="center"/>
              <w:rPr>
                <w:sz w:val="22"/>
              </w:rPr>
            </w:pPr>
            <w:r>
              <w:rPr>
                <w:rFonts w:ascii="Helvetica" w:hAnsi="Helvetica" w:eastAsia="Helvetica" w:cs="Helvetica"/>
                <w:b w:val="0"/>
                <w:bCs w:val="0"/>
                <w:i w:val="0"/>
                <w:iCs w:val="0"/>
                <w:caps w:val="0"/>
                <w:color w:val="333333"/>
                <w:spacing w:val="0"/>
                <w:sz w:val="21"/>
                <w:szCs w:val="21"/>
                <w:shd w:val="clear" w:fill="FFFFFF"/>
              </w:rPr>
              <w:t>职工医保辞职后不能转城镇合作医保，10月份辞职，因为有失业保险，12月交不上城镇医疗，等失业保险到期后，又错过了交城镇医疗的期限，又只能自费买灵活社保医疗，灵活社保医疗却有六个月之后才生效，那这中间的期间如何保障我们的医疗，相当于半年多没有任何保险，谁还敢生病，一点都不合理</w:t>
            </w:r>
          </w:p>
        </w:tc>
        <w:tc>
          <w:tcPr>
            <w:tcW w:w="32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left"/>
              <w:rPr>
                <w:rFonts w:hint="eastAsia"/>
                <w:sz w:val="22"/>
              </w:rPr>
            </w:pPr>
            <w:r>
              <w:rPr>
                <w:rFonts w:hint="eastAsia"/>
                <w:sz w:val="22"/>
              </w:rPr>
              <w:t>根据《宿州市城镇职工医疗保险市级统筹实施办法》第八条规定，“灵活就业人员参保实行6个月等待期，即连续缴纳基本医疗保险费和医疗救助费满6个月并继续参保缴费的，享受医疗保险待遇。灵活就业人员参保后欠费12个月以上的（含12个月），按首次参保对待，但断保后再次续保缴费的，此前的缴费年限与续保后的缴费年限合并计算（计算到月）。” 第九条规定“对未与社会保险费征收机构签订缓缴协议而不按时缴费的单位和个人，从当月起暂停享受医疗保险待遇；欠费六个月以上单位和个人，在欠费期间不享受医疗保险待遇。” 根据群众反映内容，10月份辞职，后有失业保险，失业保险到期后，错过了居民医疗的期限，2023年居民医保缴费期截止至2023年2月28日，领取失业金期间就业局会为群众缴纳职工医保，若群众领取失业金至居民缴费截止期后，现以灵活就业身份补缴2023年3月至2023年5月的职工医保，补缴到账后即可使用职工医保报销。</w:t>
            </w:r>
          </w:p>
        </w:tc>
        <w:tc>
          <w:tcPr>
            <w:tcW w:w="8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已办结</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jNkNTJlODliZTg0YjczOTk2ZmI2MTI4YzRmZjIifQ=="/>
  </w:docVars>
  <w:rsids>
    <w:rsidRoot w:val="009F1D45"/>
    <w:rsid w:val="00087CA6"/>
    <w:rsid w:val="00461E6E"/>
    <w:rsid w:val="00567D59"/>
    <w:rsid w:val="009F1D45"/>
    <w:rsid w:val="00EC4240"/>
    <w:rsid w:val="488C160C"/>
    <w:rsid w:val="4F3B71BE"/>
    <w:rsid w:val="FFBD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1734</Words>
  <Characters>1803</Characters>
  <Lines>1</Lines>
  <Paragraphs>1</Paragraphs>
  <TotalTime>14</TotalTime>
  <ScaleCrop>false</ScaleCrop>
  <LinksUpToDate>false</LinksUpToDate>
  <CharactersWithSpaces>1811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2023-05-15T10:05:00Z</dcterms:created>
  <dc:creator>NTKO</dc:creator>
  <cp:lastModifiedBy>赵翔</cp:lastModifiedBy>
  <dcterms:modified xsi:type="dcterms:W3CDTF">2023-06-16T03:13:58Z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349B815AF24547EBAE63242F772CD05F</vt:lpwstr>
  </property>
</Properties>
</file>