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="105" w:afterAutospacing="0"/>
        <w:jc w:val="both"/>
        <w:rPr>
          <w:rFonts w:ascii="黑体" w:hAnsi="Times New Roman" w:eastAsia="黑体"/>
          <w:kern w:val="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:</w:t>
      </w:r>
    </w:p>
    <w:p>
      <w:pPr>
        <w:pStyle w:val="11"/>
      </w:pPr>
      <w:r>
        <w:t>宿州市公共机构生活垃圾分类和资源循环</w:t>
      </w:r>
      <w:r>
        <w:rPr>
          <w:rFonts w:hint="eastAsia"/>
        </w:rPr>
        <w:br w:type="textWrapping"/>
      </w:r>
      <w:r>
        <w:t>利用示范工作成效评估表</w:t>
      </w:r>
    </w:p>
    <w:p>
      <w:pPr>
        <w:pStyle w:val="2"/>
        <w:spacing w:after="0" w:line="240" w:lineRule="exact"/>
        <w:ind w:right="255" w:firstLine="560"/>
        <w:jc w:val="center"/>
        <w:rPr>
          <w:rFonts w:ascii="Times New Roman" w:eastAsia="方正小标宋_GBK"/>
          <w:sz w:val="28"/>
          <w:szCs w:val="28"/>
        </w:rPr>
      </w:pPr>
    </w:p>
    <w:p>
      <w:pPr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填表单位（盖章）：         负责人签字：          总得分：</w:t>
      </w:r>
    </w:p>
    <w:tbl>
      <w:tblPr>
        <w:tblStyle w:val="8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943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黑体" w:hAnsi="宋体" w:eastAsia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Cs/>
                <w:kern w:val="2"/>
                <w:sz w:val="28"/>
                <w:szCs w:val="28"/>
                <w:lang w:eastAsia="zh-CN"/>
              </w:rPr>
              <w:t>评价</w:t>
            </w:r>
          </w:p>
          <w:p>
            <w:pPr>
              <w:pStyle w:val="12"/>
              <w:jc w:val="center"/>
              <w:rPr>
                <w:rFonts w:ascii="黑体" w:hAnsi="宋体" w:eastAsia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Cs/>
                <w:kern w:val="2"/>
                <w:sz w:val="28"/>
                <w:szCs w:val="28"/>
                <w:lang w:eastAsia="zh-CN"/>
              </w:rPr>
              <w:t>要素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评价内容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组织建设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1.建立健全主要负责同志第一责任人的体制机制。(2分)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2.实行生活垃圾分类管理责任人制度，确定生活垃圾分类监督管理部门。(2分)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黑体" w:hAnsi="宋体" w:eastAsia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Cs/>
                <w:kern w:val="2"/>
                <w:sz w:val="28"/>
                <w:szCs w:val="28"/>
                <w:lang w:eastAsia="zh-CN"/>
              </w:rPr>
              <w:t>制度建设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3.生活垃圾分类工作实施方案符合实际，具有操作性。(5分)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黑体" w:hAnsi="宋体" w:eastAsia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*4.建立健全生活垃圾分类日常管理制度。(5分)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设施设备</w:t>
            </w:r>
          </w:p>
        </w:tc>
        <w:tc>
          <w:tcPr>
            <w:tcW w:w="6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*5.实施“撤桶并点”，科学合理设置收集容器，无重复配置、使用率不高、引导分类作用不好等问题。(5分)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40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6.设施设备配置符合《安徽省公共机构生活垃圾分类设施设备配置及管理规范（试行）》要求。(2分)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40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7.分类标识符合《生活垃圾分类标志》（GB/T19095—2019）要求，规范、醒目、清晰、协调。(2分)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宣传培训</w:t>
            </w:r>
          </w:p>
        </w:tc>
        <w:tc>
          <w:tcPr>
            <w:tcW w:w="69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8.结合世界地球日、六五环境日、节能宣传周、全国低碳日 等时机，组织开展形式多样的宣传活动，普及生活垃圾分类知识。(2分)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*9.组织生活垃圾分类教育和实践活动。(2分)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志愿服务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10.成立生活垃圾志愿者队伍，有志愿服务计划或安排。(2分)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*11.组织开展公益宣传、桶边值守、日常巡查等志愿服务活动。(5分)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工作举措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12.实行生活垃圾定时定点分类投放。(5分)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*13.组织志愿者和监督员桶边督导。(10分)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14.采取可回收物和有害垃圾“不进桶”、“上门收”等精细化管理措施。(5分)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15.运用大数据、人工智能、移动端APP等技术手段辅助收集纸类、塑料类可回收物，促进资源节约和循环利用。(5分)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源头减量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*16.常态化开展“光盘行动”，减少厨余垃圾产生。(5分)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*17.落实塑料污染治理要求，停止使用《公共机构停止使用不可降解一次性塑料制品名录（第一批）》内的塑料制品。(5分)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18.优先采购使用可循环、易回收、可降解等有利于生活垃圾减量化、资源化的产品。(5分)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19.会议、住宿、餐饮等场所不主动提供一次性塑料用品。(3分)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分类投放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*20.干部职工了解掌握分类常识，正确分类投放生活垃圾。(10分)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*21.废纸、快递包装纸箱、塑料瓶等低价值可回收物统一回收，实现源头减量和资源循环利用。(5分)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分类收集和处理</w:t>
            </w: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22.可回收物合理处置，有规范的收运处置渠道。(2分)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23.有害垃圾有专门的收集容器或由专人上门收集，交给驻地城管部门或具有资质的企业无害化处置。(2分)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24.其他垃圾交给驻地城管部门合理处置。(2分)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25.厨余垃圾交给驻地城管部门合理处置或就地资源化处置。(2分)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说明</w:t>
            </w:r>
          </w:p>
        </w:tc>
        <w:tc>
          <w:tcPr>
            <w:tcW w:w="7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1.危险废物、医疗废物、建筑垃圾、绿化作业垃圾等废弃物的收集、运输和处置按照相关规定执行。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2.评价总得分，全覆盖达标单位不低于70分，示范单位不低于80分，示范重点单位不低于90分。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3.示范单位和示范重点单位，评价内容中带*的评分项均不得为0分，且近三年内未违反《党政机关厉行节约反对浪费条例》规定、近一年内未被专项检查通报。</w:t>
            </w:r>
          </w:p>
        </w:tc>
      </w:tr>
    </w:tbl>
    <w:p>
      <w:pPr>
        <w:pStyle w:val="10"/>
        <w:ind w:firstLine="0" w:firstLineChars="0"/>
        <w:rPr>
          <w:rFonts w:hint="default" w:ascii="Times New Roman" w:hAnsi="Times New Roman" w:eastAsia="仿宋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6AD902"/>
    <w:rsid w:val="6E6906D2"/>
    <w:rsid w:val="FC6AD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黑体"/>
      <w:sz w:val="24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Times New Roman" w:cs="Times New Roman"/>
      <w:kern w:val="0"/>
      <w:sz w:val="24"/>
      <w:szCs w:val="22"/>
    </w:rPr>
  </w:style>
  <w:style w:type="paragraph" w:customStyle="1" w:styleId="10">
    <w:name w:val="正文文本缩进 21"/>
    <w:basedOn w:val="1"/>
    <w:qFormat/>
    <w:uiPriority w:val="0"/>
    <w:pPr>
      <w:spacing w:line="590" w:lineRule="exact"/>
      <w:ind w:firstLine="880" w:firstLineChars="200"/>
    </w:pPr>
    <w:rPr>
      <w:rFonts w:hint="eastAsia" w:eastAsia="方正仿宋_GBK"/>
    </w:rPr>
  </w:style>
  <w:style w:type="paragraph" w:customStyle="1" w:styleId="11">
    <w:name w:val="样式6"/>
    <w:basedOn w:val="1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ascii="Times New Roman" w:eastAsia="方正小标宋_GBK"/>
      <w:sz w:val="44"/>
      <w:szCs w:val="44"/>
    </w:rPr>
  </w:style>
  <w:style w:type="paragraph" w:customStyle="1" w:styleId="12">
    <w:name w:val="Table Paragraph"/>
    <w:basedOn w:val="1"/>
    <w:qFormat/>
    <w:uiPriority w:val="0"/>
    <w:pPr>
      <w:jc w:val="left"/>
    </w:pPr>
    <w:rPr>
      <w:rFonts w:ascii="Calibri" w:hAnsi="Calibri" w:eastAsia="Times New Roman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2023-04-20T09:35:00Z</dcterms:created>
  <dc:creator>greatwall</dc:creator>
  <cp:lastModifiedBy>greatwall</cp:lastModifiedBy>
  <dcterms:modified xsi:type="dcterms:W3CDTF">2023-04-20T10:03:09Z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