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6"/>
          <w:szCs w:val="36"/>
        </w:rPr>
      </w:pPr>
      <w:r>
        <w:rPr>
          <w:rFonts w:hint="eastAsia" w:ascii="仿宋" w:hAnsi="仿宋" w:eastAsia="仿宋" w:cs="仿宋"/>
          <w:b/>
          <w:bCs/>
          <w:sz w:val="36"/>
          <w:szCs w:val="36"/>
        </w:rPr>
        <w:drawing>
          <wp:inline distT="0" distB="0" distL="114300" distR="114300">
            <wp:extent cx="5287010" cy="1145540"/>
            <wp:effectExtent l="0" t="0" r="8890" b="0"/>
            <wp:docPr id="4" name="图片 4" descr="hd_title_37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d_title_37_6"/>
                    <pic:cNvPicPr>
                      <a:picLocks noChangeAspect="1"/>
                    </pic:cNvPicPr>
                  </pic:nvPicPr>
                  <pic:blipFill>
                    <a:blip r:embed="rId14"/>
                    <a:stretch>
                      <a:fillRect/>
                    </a:stretch>
                  </pic:blipFill>
                  <pic:spPr>
                    <a:xfrm>
                      <a:off x="0" y="0"/>
                      <a:ext cx="5393500" cy="1168639"/>
                    </a:xfrm>
                    <a:prstGeom prst="rect">
                      <a:avLst/>
                    </a:prstGeom>
                  </pic:spPr>
                </pic:pic>
              </a:graphicData>
            </a:graphic>
          </wp:inline>
        </w:drawing>
      </w:r>
      <w:r>
        <w:rPr>
          <w:rFonts w:hint="eastAsia" w:ascii="仿宋" w:hAnsi="仿宋" w:eastAsia="仿宋" w:cs="仿宋"/>
          <w:b/>
          <w:bCs/>
          <w:sz w:val="36"/>
          <w:szCs w:val="36"/>
        </w:rPr>
        <w:t xml:space="preserve">       </w:t>
      </w:r>
    </w:p>
    <w:p>
      <w:pPr>
        <w:rPr>
          <w:rFonts w:ascii="仿宋" w:hAnsi="仿宋" w:eastAsia="仿宋" w:cs="仿宋"/>
          <w:b/>
          <w:bCs/>
          <w:sz w:val="36"/>
          <w:szCs w:val="36"/>
        </w:rPr>
      </w:pP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见</w:t>
      </w: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证</w:t>
      </w: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服</w:t>
      </w: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务</w:t>
      </w:r>
    </w:p>
    <w:p>
      <w:pPr>
        <w:spacing w:line="0" w:lineRule="atLeast"/>
        <w:jc w:val="center"/>
        <w:rPr>
          <w:rFonts w:hint="eastAsia" w:ascii="方正仿宋_GBK" w:hAnsi="方正仿宋_GBK" w:eastAsia="方正仿宋_GBK" w:cs="方正仿宋_GBK"/>
          <w:b/>
          <w:bCs/>
          <w:color w:val="333333"/>
          <w:kern w:val="0"/>
          <w:sz w:val="56"/>
          <w:szCs w:val="56"/>
          <w:shd w:val="clear" w:color="auto" w:fill="FFFFFF"/>
          <w:lang w:eastAsia="zh-CN"/>
        </w:rPr>
      </w:pPr>
      <w:r>
        <w:rPr>
          <w:rFonts w:hint="eastAsia" w:ascii="方正仿宋_GBK" w:hAnsi="方正仿宋_GBK" w:eastAsia="方正仿宋_GBK" w:cs="方正仿宋_GBK"/>
          <w:b/>
          <w:bCs/>
          <w:color w:val="333333"/>
          <w:kern w:val="0"/>
          <w:sz w:val="56"/>
          <w:szCs w:val="56"/>
          <w:shd w:val="clear" w:color="auto" w:fill="FFFFFF"/>
          <w:lang w:eastAsia="zh-CN"/>
        </w:rPr>
        <w:t>工</w:t>
      </w:r>
    </w:p>
    <w:p>
      <w:pPr>
        <w:spacing w:line="0" w:lineRule="atLeast"/>
        <w:jc w:val="center"/>
        <w:rPr>
          <w:rFonts w:hint="eastAsia" w:ascii="方正仿宋_GBK" w:hAnsi="方正仿宋_GBK" w:eastAsia="方正仿宋_GBK" w:cs="方正仿宋_GBK"/>
          <w:b/>
          <w:bCs/>
          <w:color w:val="333333"/>
          <w:kern w:val="0"/>
          <w:sz w:val="56"/>
          <w:szCs w:val="56"/>
          <w:shd w:val="clear" w:color="auto" w:fill="FFFFFF"/>
          <w:lang w:eastAsia="zh-CN"/>
        </w:rPr>
      </w:pPr>
      <w:r>
        <w:rPr>
          <w:rFonts w:hint="eastAsia" w:ascii="方正仿宋_GBK" w:hAnsi="方正仿宋_GBK" w:eastAsia="方正仿宋_GBK" w:cs="方正仿宋_GBK"/>
          <w:b/>
          <w:bCs/>
          <w:color w:val="333333"/>
          <w:kern w:val="0"/>
          <w:sz w:val="56"/>
          <w:szCs w:val="56"/>
          <w:shd w:val="clear" w:color="auto" w:fill="FFFFFF"/>
          <w:lang w:eastAsia="zh-CN"/>
        </w:rPr>
        <w:t>作</w:t>
      </w: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手</w:t>
      </w: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册</w:t>
      </w:r>
    </w:p>
    <w:p>
      <w:pPr>
        <w:spacing w:line="0" w:lineRule="atLeast"/>
        <w:rPr>
          <w:rFonts w:ascii="仿宋" w:hAnsi="仿宋" w:eastAsia="仿宋" w:cs="仿宋"/>
          <w:b/>
          <w:bCs/>
          <w:sz w:val="72"/>
          <w:szCs w:val="72"/>
        </w:rPr>
      </w:pPr>
    </w:p>
    <w:p>
      <w:pPr>
        <w:pStyle w:val="2"/>
        <w:ind w:left="0" w:leftChars="0" w:firstLine="0" w:firstLineChars="0"/>
        <w:rPr>
          <w:rFonts w:ascii="仿宋" w:hAnsi="仿宋" w:eastAsia="仿宋" w:cs="仿宋"/>
          <w:b/>
          <w:bCs/>
          <w:sz w:val="72"/>
          <w:szCs w:val="72"/>
        </w:rPr>
      </w:pPr>
    </w:p>
    <w:p>
      <w:pPr>
        <w:rPr>
          <w:rFonts w:ascii="仿宋" w:hAnsi="仿宋" w:eastAsia="仿宋" w:cs="仿宋"/>
          <w:b/>
          <w:bCs/>
          <w:sz w:val="36"/>
          <w:szCs w:val="36"/>
        </w:rPr>
      </w:pPr>
    </w:p>
    <w:p>
      <w:pPr>
        <w:jc w:val="center"/>
        <w:rPr>
          <w:rFonts w:ascii="仿宋" w:hAnsi="仿宋" w:eastAsia="仿宋" w:cs="仿宋"/>
          <w:b/>
          <w:bCs/>
          <w:sz w:val="36"/>
          <w:szCs w:val="36"/>
        </w:rPr>
      </w:pPr>
      <w:r>
        <w:rPr>
          <w:rFonts w:hint="eastAsia" w:ascii="仿宋" w:hAnsi="仿宋" w:eastAsia="仿宋" w:cs="仿宋"/>
          <w:b/>
          <w:bCs/>
          <w:sz w:val="36"/>
          <w:szCs w:val="36"/>
        </w:rPr>
        <w:t>宿州市公共资源交易中心</w:t>
      </w:r>
    </w:p>
    <w:p>
      <w:pPr>
        <w:jc w:val="center"/>
        <w:rPr>
          <w:rFonts w:ascii="仿宋" w:hAnsi="仿宋" w:eastAsia="仿宋" w:cs="仿宋"/>
          <w:b/>
          <w:bCs/>
          <w:sz w:val="36"/>
          <w:szCs w:val="36"/>
        </w:rPr>
      </w:pPr>
      <w:r>
        <w:rPr>
          <w:rFonts w:hint="eastAsia" w:ascii="仿宋" w:hAnsi="仿宋" w:eastAsia="仿宋" w:cs="仿宋"/>
          <w:b/>
          <w:bCs/>
          <w:sz w:val="36"/>
          <w:szCs w:val="36"/>
        </w:rPr>
        <w:t>2023年版</w:t>
      </w:r>
    </w:p>
    <w:p>
      <w:pPr>
        <w:pStyle w:val="42"/>
        <w:jc w:val="center"/>
        <w:rPr>
          <w:lang w:val="zh-CN"/>
        </w:rPr>
        <w:sectPr>
          <w:footerReference r:id="rId3" w:type="default"/>
          <w:pgSz w:w="11906" w:h="16838"/>
          <w:pgMar w:top="1440" w:right="1800" w:bottom="1440" w:left="1800" w:header="851" w:footer="992" w:gutter="0"/>
          <w:pgNumType w:fmt="decimal" w:start="1"/>
          <w:cols w:space="425" w:num="1"/>
          <w:docGrid w:type="lines" w:linePitch="312" w:charSpace="0"/>
        </w:sectPr>
      </w:pPr>
    </w:p>
    <w:sdt>
      <w:sdtPr>
        <w:rPr>
          <w:lang w:val="zh-CN"/>
        </w:rPr>
        <w:id w:val="386917283"/>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42"/>
            <w:jc w:val="center"/>
          </w:pPr>
          <w:r>
            <w:rPr>
              <w:lang w:val="zh-CN"/>
            </w:rPr>
            <w:t>目录</w:t>
          </w:r>
        </w:p>
        <w:p>
          <w:pPr>
            <w:pStyle w:val="12"/>
            <w:tabs>
              <w:tab w:val="right" w:leader="dot" w:pos="8296"/>
            </w:tabs>
            <w:ind w:firstLine="420" w:firstLineChars="200"/>
            <w:rPr>
              <w:szCs w:val="22"/>
            </w:rPr>
          </w:pPr>
          <w:r>
            <w:fldChar w:fldCharType="begin"/>
          </w:r>
          <w:r>
            <w:instrText xml:space="preserve"> TOC \o "1-3" \h \z \u </w:instrText>
          </w:r>
          <w:r>
            <w:fldChar w:fldCharType="separate"/>
          </w:r>
          <w:r>
            <w:fldChar w:fldCharType="begin"/>
          </w:r>
          <w:r>
            <w:instrText xml:space="preserve"> HYPERLINK \l "_Toc127196592" </w:instrText>
          </w:r>
          <w:r>
            <w:fldChar w:fldCharType="separate"/>
          </w:r>
          <w:r>
            <w:rPr>
              <w:rStyle w:val="26"/>
            </w:rPr>
            <w:t>宿州市公共资源交易中心见证服务实施细则</w:t>
          </w:r>
          <w:r>
            <w:rPr>
              <w:rStyle w:val="26"/>
              <w:rFonts w:hint="eastAsia"/>
            </w:rPr>
            <w:t>（试行）</w:t>
          </w:r>
          <w:r>
            <w:tab/>
          </w:r>
          <w:r>
            <w:rPr>
              <w:rFonts w:hint="eastAsia"/>
              <w:lang w:val="en-US" w:eastAsia="zh-CN"/>
            </w:rPr>
            <w:t>2</w:t>
          </w:r>
          <w:r>
            <w:fldChar w:fldCharType="end"/>
          </w:r>
        </w:p>
        <w:p>
          <w:pPr>
            <w:pStyle w:val="13"/>
            <w:tabs>
              <w:tab w:val="right" w:leader="dot" w:pos="8296"/>
            </w:tabs>
            <w:rPr>
              <w:szCs w:val="22"/>
            </w:rPr>
          </w:pPr>
          <w:r>
            <w:fldChar w:fldCharType="begin"/>
          </w:r>
          <w:r>
            <w:instrText xml:space="preserve"> HYPERLINK \l "_Toc127196595" </w:instrText>
          </w:r>
          <w:r>
            <w:fldChar w:fldCharType="separate"/>
          </w:r>
          <w:r>
            <w:rPr>
              <w:rStyle w:val="26"/>
              <w:shd w:val="clear" w:color="auto" w:fill="FFFFFF"/>
            </w:rPr>
            <w:t>项目见证异常情况移交（推送）工作机制</w:t>
          </w:r>
          <w:r>
            <w:tab/>
          </w:r>
          <w:r>
            <w:rPr>
              <w:rFonts w:hint="eastAsia"/>
              <w:lang w:val="en-US" w:eastAsia="zh-CN"/>
            </w:rPr>
            <w:t>8</w:t>
          </w:r>
          <w:r>
            <w:fldChar w:fldCharType="end"/>
          </w:r>
        </w:p>
        <w:p>
          <w:pPr>
            <w:pStyle w:val="9"/>
            <w:tabs>
              <w:tab w:val="right" w:leader="dot" w:pos="8296"/>
            </w:tabs>
            <w:rPr>
              <w:szCs w:val="22"/>
            </w:rPr>
          </w:pPr>
          <w:r>
            <w:fldChar w:fldCharType="begin"/>
          </w:r>
          <w:r>
            <w:instrText xml:space="preserve"> HYPERLINK \l "_Toc127196596" </w:instrText>
          </w:r>
          <w:r>
            <w:fldChar w:fldCharType="separate"/>
          </w:r>
          <w:r>
            <w:rPr>
              <w:rStyle w:val="26"/>
              <w:shd w:val="clear" w:color="auto" w:fill="FFFFFF"/>
            </w:rPr>
            <w:t>图1  项目见证异常情况移交（推送）工作路径</w:t>
          </w:r>
          <w:r>
            <w:tab/>
          </w:r>
          <w:r>
            <w:fldChar w:fldCharType="begin"/>
          </w:r>
          <w:r>
            <w:instrText xml:space="preserve"> PAGEREF _Toc127196596 \h </w:instrText>
          </w:r>
          <w:r>
            <w:fldChar w:fldCharType="separate"/>
          </w:r>
          <w:r>
            <w:t>9</w:t>
          </w:r>
          <w:r>
            <w:fldChar w:fldCharType="end"/>
          </w:r>
          <w:r>
            <w:fldChar w:fldCharType="end"/>
          </w:r>
        </w:p>
        <w:p>
          <w:pPr>
            <w:pStyle w:val="9"/>
            <w:tabs>
              <w:tab w:val="right" w:leader="dot" w:pos="8296"/>
            </w:tabs>
            <w:rPr>
              <w:szCs w:val="22"/>
            </w:rPr>
          </w:pPr>
          <w:r>
            <w:fldChar w:fldCharType="begin"/>
          </w:r>
          <w:r>
            <w:instrText xml:space="preserve"> HYPERLINK \l "_Toc127196597" </w:instrText>
          </w:r>
          <w:r>
            <w:fldChar w:fldCharType="separate"/>
          </w:r>
          <w:r>
            <w:rPr>
              <w:rStyle w:val="26"/>
              <w:shd w:val="clear" w:color="auto" w:fill="FFFFFF"/>
            </w:rPr>
            <w:t>表1 现场见证异常情况记录表</w:t>
          </w:r>
          <w:r>
            <w:tab/>
          </w:r>
          <w:r>
            <w:fldChar w:fldCharType="begin"/>
          </w:r>
          <w:r>
            <w:instrText xml:space="preserve"> PAGEREF _Toc127196597 \h </w:instrText>
          </w:r>
          <w:r>
            <w:fldChar w:fldCharType="separate"/>
          </w:r>
          <w:r>
            <w:t>10</w:t>
          </w:r>
          <w:r>
            <w:fldChar w:fldCharType="end"/>
          </w:r>
          <w:r>
            <w:fldChar w:fldCharType="end"/>
          </w:r>
        </w:p>
        <w:p>
          <w:pPr>
            <w:pStyle w:val="9"/>
            <w:tabs>
              <w:tab w:val="right" w:leader="dot" w:pos="8296"/>
            </w:tabs>
            <w:rPr>
              <w:szCs w:val="22"/>
            </w:rPr>
          </w:pPr>
          <w:r>
            <w:fldChar w:fldCharType="begin"/>
          </w:r>
          <w:r>
            <w:instrText xml:space="preserve"> HYPERLINK \l "_Toc127196598" </w:instrText>
          </w:r>
          <w:r>
            <w:fldChar w:fldCharType="separate"/>
          </w:r>
          <w:r>
            <w:rPr>
              <w:rStyle w:val="26"/>
              <w:shd w:val="clear" w:color="auto" w:fill="FFFFFF"/>
            </w:rPr>
            <w:t>表2 材料签收记录表</w:t>
          </w:r>
          <w:r>
            <w:tab/>
          </w:r>
          <w:r>
            <w:fldChar w:fldCharType="begin"/>
          </w:r>
          <w:r>
            <w:instrText xml:space="preserve"> PAGEREF _Toc127196598 \h </w:instrText>
          </w:r>
          <w:r>
            <w:fldChar w:fldCharType="separate"/>
          </w:r>
          <w:r>
            <w:t>11</w:t>
          </w:r>
          <w:r>
            <w:fldChar w:fldCharType="end"/>
          </w:r>
          <w:r>
            <w:fldChar w:fldCharType="end"/>
          </w:r>
        </w:p>
        <w:p>
          <w:pPr>
            <w:pStyle w:val="13"/>
            <w:tabs>
              <w:tab w:val="right" w:leader="dot" w:pos="8296"/>
            </w:tabs>
            <w:rPr>
              <w:szCs w:val="22"/>
            </w:rPr>
          </w:pPr>
          <w:r>
            <w:fldChar w:fldCharType="begin"/>
          </w:r>
          <w:r>
            <w:instrText xml:space="preserve"> HYPERLINK \l "_Toc127196600" </w:instrText>
          </w:r>
          <w:r>
            <w:fldChar w:fldCharType="separate"/>
          </w:r>
          <w:r>
            <w:rPr>
              <w:rStyle w:val="26"/>
              <w:shd w:val="clear" w:color="auto" w:fill="FFFFFF"/>
            </w:rPr>
            <w:t>场外监督人员保密承诺书</w:t>
          </w:r>
          <w:r>
            <w:tab/>
          </w:r>
          <w:r>
            <w:fldChar w:fldCharType="begin"/>
          </w:r>
          <w:r>
            <w:instrText xml:space="preserve"> PAGEREF _Toc127196600 \h </w:instrText>
          </w:r>
          <w:r>
            <w:fldChar w:fldCharType="separate"/>
          </w:r>
          <w:r>
            <w:t>12</w:t>
          </w:r>
          <w:r>
            <w:fldChar w:fldCharType="end"/>
          </w:r>
          <w:r>
            <w:fldChar w:fldCharType="end"/>
          </w:r>
        </w:p>
        <w:p>
          <w:pPr>
            <w:pStyle w:val="9"/>
            <w:tabs>
              <w:tab w:val="right" w:leader="dot" w:pos="8296"/>
            </w:tabs>
            <w:rPr>
              <w:szCs w:val="22"/>
            </w:rPr>
          </w:pPr>
          <w:r>
            <w:fldChar w:fldCharType="begin"/>
          </w:r>
          <w:r>
            <w:instrText xml:space="preserve"> HYPERLINK \l "_Toc127196601" </w:instrText>
          </w:r>
          <w:r>
            <w:fldChar w:fldCharType="separate"/>
          </w:r>
          <w:r>
            <w:rPr>
              <w:rStyle w:val="26"/>
              <w:shd w:val="clear" w:color="auto" w:fill="FFFFFF"/>
            </w:rPr>
            <w:t>表3 轨迹牌领取一览表</w:t>
          </w:r>
          <w:r>
            <w:tab/>
          </w:r>
          <w:r>
            <w:fldChar w:fldCharType="begin"/>
          </w:r>
          <w:r>
            <w:instrText xml:space="preserve"> PAGEREF _Toc127196601 \h </w:instrText>
          </w:r>
          <w:r>
            <w:fldChar w:fldCharType="separate"/>
          </w:r>
          <w:r>
            <w:t>13</w:t>
          </w:r>
          <w:r>
            <w:fldChar w:fldCharType="end"/>
          </w:r>
          <w:r>
            <w:fldChar w:fldCharType="end"/>
          </w:r>
        </w:p>
        <w:p>
          <w:pPr>
            <w:pStyle w:val="9"/>
            <w:tabs>
              <w:tab w:val="right" w:leader="dot" w:pos="8296"/>
            </w:tabs>
            <w:rPr>
              <w:szCs w:val="22"/>
            </w:rPr>
          </w:pPr>
          <w:r>
            <w:fldChar w:fldCharType="begin"/>
          </w:r>
          <w:r>
            <w:instrText xml:space="preserve"> HYPERLINK \l "_Toc127196602" </w:instrText>
          </w:r>
          <w:r>
            <w:fldChar w:fldCharType="separate"/>
          </w:r>
          <w:r>
            <w:rPr>
              <w:rStyle w:val="26"/>
            </w:rPr>
            <w:t>表4  评委座位号及工作牌登记表</w:t>
          </w:r>
          <w:r>
            <w:tab/>
          </w:r>
          <w:r>
            <w:fldChar w:fldCharType="begin"/>
          </w:r>
          <w:r>
            <w:instrText xml:space="preserve"> PAGEREF _Toc127196602 \h </w:instrText>
          </w:r>
          <w:r>
            <w:fldChar w:fldCharType="separate"/>
          </w:r>
          <w:r>
            <w:t>14</w:t>
          </w:r>
          <w:r>
            <w:fldChar w:fldCharType="end"/>
          </w:r>
          <w:r>
            <w:fldChar w:fldCharType="end"/>
          </w:r>
        </w:p>
        <w:p>
          <w:pPr>
            <w:pStyle w:val="9"/>
            <w:tabs>
              <w:tab w:val="right" w:leader="dot" w:pos="8296"/>
            </w:tabs>
            <w:rPr>
              <w:szCs w:val="22"/>
            </w:rPr>
          </w:pPr>
          <w:r>
            <w:fldChar w:fldCharType="begin"/>
          </w:r>
          <w:r>
            <w:instrText xml:space="preserve"> HYPERLINK \l "_Toc127196603" </w:instrText>
          </w:r>
          <w:r>
            <w:fldChar w:fldCharType="separate"/>
          </w:r>
          <w:r>
            <w:rPr>
              <w:rStyle w:val="26"/>
            </w:rPr>
            <w:t>表5  见证专用章使用登记薄</w:t>
          </w:r>
          <w:r>
            <w:tab/>
          </w:r>
          <w:r>
            <w:fldChar w:fldCharType="begin"/>
          </w:r>
          <w:r>
            <w:instrText xml:space="preserve"> PAGEREF _Toc127196603 \h </w:instrText>
          </w:r>
          <w:r>
            <w:fldChar w:fldCharType="separate"/>
          </w:r>
          <w:r>
            <w:t>15</w:t>
          </w:r>
          <w:r>
            <w:fldChar w:fldCharType="end"/>
          </w:r>
          <w:r>
            <w:fldChar w:fldCharType="end"/>
          </w:r>
        </w:p>
        <w:p>
          <w:pPr>
            <w:pStyle w:val="13"/>
            <w:tabs>
              <w:tab w:val="right" w:leader="dot" w:pos="8296"/>
            </w:tabs>
            <w:rPr>
              <w:szCs w:val="22"/>
            </w:rPr>
          </w:pPr>
          <w:r>
            <w:fldChar w:fldCharType="begin"/>
          </w:r>
          <w:r>
            <w:instrText xml:space="preserve"> HYPERLINK \l "_Toc127196605" </w:instrText>
          </w:r>
          <w:r>
            <w:fldChar w:fldCharType="separate"/>
          </w:r>
          <w:r>
            <w:rPr>
              <w:rStyle w:val="26"/>
              <w:shd w:val="clear" w:color="auto" w:fill="FFFFFF"/>
            </w:rPr>
            <w:t>项目见证异常情况移交（函）</w:t>
          </w:r>
          <w:r>
            <w:tab/>
          </w:r>
          <w:r>
            <w:fldChar w:fldCharType="begin"/>
          </w:r>
          <w:r>
            <w:instrText xml:space="preserve"> PAGEREF _Toc127196605 \h </w:instrText>
          </w:r>
          <w:r>
            <w:fldChar w:fldCharType="separate"/>
          </w:r>
          <w:r>
            <w:t>16</w:t>
          </w:r>
          <w:r>
            <w:fldChar w:fldCharType="end"/>
          </w:r>
          <w:r>
            <w:fldChar w:fldCharType="end"/>
          </w:r>
        </w:p>
        <w:p>
          <w:pPr>
            <w:pStyle w:val="9"/>
            <w:tabs>
              <w:tab w:val="right" w:leader="dot" w:pos="8296"/>
            </w:tabs>
            <w:rPr>
              <w:szCs w:val="22"/>
            </w:rPr>
          </w:pPr>
          <w:r>
            <w:fldChar w:fldCharType="begin"/>
          </w:r>
          <w:r>
            <w:instrText xml:space="preserve"> HYPERLINK \l "_Toc127196607" </w:instrText>
          </w:r>
          <w:r>
            <w:fldChar w:fldCharType="separate"/>
          </w:r>
          <w:r>
            <w:rPr>
              <w:rStyle w:val="26"/>
              <w:shd w:val="clear" w:color="auto" w:fill="FFFFFF"/>
            </w:rPr>
            <w:t>现场见证电子系统及服务存在问题联系单</w:t>
          </w:r>
          <w:r>
            <w:tab/>
          </w:r>
          <w:r>
            <w:fldChar w:fldCharType="begin"/>
          </w:r>
          <w:r>
            <w:instrText xml:space="preserve"> PAGEREF _Toc127196607 \h </w:instrText>
          </w:r>
          <w:r>
            <w:fldChar w:fldCharType="separate"/>
          </w:r>
          <w:r>
            <w:t>17</w:t>
          </w:r>
          <w:r>
            <w:fldChar w:fldCharType="end"/>
          </w:r>
          <w:r>
            <w:fldChar w:fldCharType="end"/>
          </w:r>
        </w:p>
        <w:p>
          <w:pPr>
            <w:pStyle w:val="9"/>
            <w:tabs>
              <w:tab w:val="right" w:leader="dot" w:pos="8296"/>
            </w:tabs>
            <w:rPr>
              <w:szCs w:val="22"/>
            </w:rPr>
          </w:pPr>
          <w:r>
            <w:fldChar w:fldCharType="begin"/>
          </w:r>
          <w:r>
            <w:instrText xml:space="preserve"> HYPERLINK \l "_Toc127196608" </w:instrText>
          </w:r>
          <w:r>
            <w:fldChar w:fldCharType="separate"/>
          </w:r>
          <w:r>
            <w:rPr>
              <w:rStyle w:val="26"/>
            </w:rPr>
            <w:t>表6  约谈警示记录</w:t>
          </w:r>
          <w:r>
            <w:tab/>
          </w:r>
          <w:r>
            <w:fldChar w:fldCharType="begin"/>
          </w:r>
          <w:r>
            <w:instrText xml:space="preserve"> PAGEREF _Toc127196608 \h </w:instrText>
          </w:r>
          <w:r>
            <w:fldChar w:fldCharType="separate"/>
          </w:r>
          <w:r>
            <w:t>18</w:t>
          </w:r>
          <w:r>
            <w:fldChar w:fldCharType="end"/>
          </w:r>
          <w:r>
            <w:fldChar w:fldCharType="end"/>
          </w:r>
        </w:p>
        <w:p>
          <w:pPr>
            <w:pStyle w:val="9"/>
            <w:tabs>
              <w:tab w:val="right" w:leader="dot" w:pos="8296"/>
            </w:tabs>
            <w:rPr>
              <w:szCs w:val="22"/>
            </w:rPr>
          </w:pPr>
          <w:r>
            <w:fldChar w:fldCharType="begin"/>
          </w:r>
          <w:r>
            <w:instrText xml:space="preserve"> HYPERLINK \l "_Toc127196609" </w:instrText>
          </w:r>
          <w:r>
            <w:fldChar w:fldCharType="separate"/>
          </w:r>
          <w:r>
            <w:rPr>
              <w:rStyle w:val="26"/>
            </w:rPr>
            <w:t>表7  评价与惩戒申诉书</w:t>
          </w:r>
          <w:r>
            <w:tab/>
          </w:r>
          <w:r>
            <w:fldChar w:fldCharType="begin"/>
          </w:r>
          <w:r>
            <w:instrText xml:space="preserve"> PAGEREF _Toc127196609 \h </w:instrText>
          </w:r>
          <w:r>
            <w:fldChar w:fldCharType="separate"/>
          </w:r>
          <w:r>
            <w:t>19</w:t>
          </w:r>
          <w:r>
            <w:fldChar w:fldCharType="end"/>
          </w:r>
          <w:r>
            <w:fldChar w:fldCharType="end"/>
          </w:r>
        </w:p>
        <w:p>
          <w:pPr>
            <w:pStyle w:val="13"/>
            <w:tabs>
              <w:tab w:val="right" w:leader="dot" w:pos="8296"/>
            </w:tabs>
            <w:rPr>
              <w:szCs w:val="22"/>
            </w:rPr>
          </w:pPr>
          <w:r>
            <w:fldChar w:fldCharType="begin"/>
          </w:r>
          <w:r>
            <w:instrText xml:space="preserve"> HYPERLINK \l "_Toc127196611" </w:instrText>
          </w:r>
          <w:r>
            <w:fldChar w:fldCharType="separate"/>
          </w:r>
          <w:r>
            <w:rPr>
              <w:rStyle w:val="26"/>
              <w:shd w:val="clear" w:color="auto" w:fill="FFFFFF"/>
            </w:rPr>
            <w:t>工作牌防伪标签领取申请单</w:t>
          </w:r>
          <w:r>
            <w:tab/>
          </w:r>
          <w:r>
            <w:fldChar w:fldCharType="begin"/>
          </w:r>
          <w:r>
            <w:instrText xml:space="preserve"> PAGEREF _Toc127196611 \h </w:instrText>
          </w:r>
          <w:r>
            <w:fldChar w:fldCharType="separate"/>
          </w:r>
          <w:r>
            <w:t>20</w:t>
          </w:r>
          <w:r>
            <w:fldChar w:fldCharType="end"/>
          </w:r>
          <w:r>
            <w:fldChar w:fldCharType="end"/>
          </w:r>
        </w:p>
        <w:p>
          <w:pPr>
            <w:pStyle w:val="9"/>
            <w:tabs>
              <w:tab w:val="right" w:leader="dot" w:pos="8296"/>
            </w:tabs>
            <w:rPr>
              <w:szCs w:val="22"/>
            </w:rPr>
          </w:pPr>
          <w:r>
            <w:fldChar w:fldCharType="begin"/>
          </w:r>
          <w:r>
            <w:instrText xml:space="preserve"> HYPERLINK \l "_Toc127196612" </w:instrText>
          </w:r>
          <w:r>
            <w:fldChar w:fldCharType="separate"/>
          </w:r>
          <w:r>
            <w:rPr>
              <w:rStyle w:val="26"/>
              <w:shd w:val="clear" w:color="auto" w:fill="FFFFFF"/>
            </w:rPr>
            <w:t>防伪标签领取流程图</w:t>
          </w:r>
          <w:r>
            <w:tab/>
          </w:r>
          <w:r>
            <w:fldChar w:fldCharType="begin"/>
          </w:r>
          <w:r>
            <w:instrText xml:space="preserve"> PAGEREF _Toc127196612 \h </w:instrText>
          </w:r>
          <w:r>
            <w:fldChar w:fldCharType="separate"/>
          </w:r>
          <w:r>
            <w:t>21</w:t>
          </w:r>
          <w:r>
            <w:fldChar w:fldCharType="end"/>
          </w:r>
          <w:r>
            <w:fldChar w:fldCharType="end"/>
          </w:r>
        </w:p>
        <w:p>
          <w:pPr>
            <w:pStyle w:val="9"/>
            <w:tabs>
              <w:tab w:val="right" w:leader="dot" w:pos="8296"/>
            </w:tabs>
            <w:ind w:left="0" w:leftChars="0" w:firstLine="420" w:firstLineChars="200"/>
          </w:pPr>
          <w:r>
            <w:fldChar w:fldCharType="begin"/>
          </w:r>
          <w:r>
            <w:instrText xml:space="preserve"> HYPERLINK \l "_Toc127196613" </w:instrText>
          </w:r>
          <w:r>
            <w:fldChar w:fldCharType="separate"/>
          </w:r>
          <w:r>
            <w:rPr>
              <w:rStyle w:val="26"/>
            </w:rPr>
            <w:t>午间交接班</w:t>
          </w:r>
          <w:r>
            <w:rPr>
              <w:rStyle w:val="26"/>
              <w:rFonts w:hint="eastAsia"/>
              <w:lang w:eastAsia="zh-CN"/>
            </w:rPr>
            <w:t>机制</w:t>
          </w:r>
          <w:r>
            <w:tab/>
          </w:r>
          <w:r>
            <w:rPr>
              <w:rFonts w:hint="eastAsia"/>
              <w:lang w:val="en-US" w:eastAsia="zh-CN"/>
            </w:rPr>
            <w:t>2</w:t>
          </w:r>
          <w:r>
            <w:fldChar w:fldCharType="end"/>
          </w:r>
          <w:r>
            <w:rPr>
              <w:rFonts w:hint="eastAsia"/>
              <w:lang w:val="en-US" w:eastAsia="zh-CN"/>
            </w:rPr>
            <w:t>2</w:t>
          </w:r>
        </w:p>
        <w:p>
          <w:pPr>
            <w:pStyle w:val="9"/>
            <w:tabs>
              <w:tab w:val="right" w:leader="dot" w:pos="8296"/>
            </w:tabs>
            <w:rPr>
              <w:rFonts w:hint="eastAsia" w:eastAsiaTheme="minorEastAsia"/>
              <w:szCs w:val="22"/>
              <w:lang w:val="en-US" w:eastAsia="zh-CN"/>
            </w:rPr>
          </w:pPr>
          <w:r>
            <w:fldChar w:fldCharType="begin"/>
          </w:r>
          <w:r>
            <w:instrText xml:space="preserve"> HYPERLINK \l "_Toc127196613" </w:instrText>
          </w:r>
          <w:r>
            <w:fldChar w:fldCharType="separate"/>
          </w:r>
          <w:r>
            <w:rPr>
              <w:rStyle w:val="26"/>
            </w:rPr>
            <w:t>午间交接班日志</w:t>
          </w:r>
          <w:r>
            <w:tab/>
          </w:r>
          <w:r>
            <w:rPr>
              <w:rFonts w:hint="eastAsia"/>
              <w:lang w:val="en-US" w:eastAsia="zh-CN"/>
            </w:rPr>
            <w:t>2</w:t>
          </w:r>
          <w:r>
            <w:fldChar w:fldCharType="end"/>
          </w:r>
          <w:r>
            <w:rPr>
              <w:rFonts w:hint="eastAsia"/>
              <w:lang w:val="en-US" w:eastAsia="zh-CN"/>
            </w:rPr>
            <w:t>4</w:t>
          </w:r>
        </w:p>
        <w:p>
          <w:pPr>
            <w:pStyle w:val="9"/>
            <w:tabs>
              <w:tab w:val="right" w:leader="dot" w:pos="8296"/>
            </w:tabs>
            <w:rPr>
              <w:szCs w:val="22"/>
            </w:rPr>
          </w:pPr>
          <w:r>
            <w:fldChar w:fldCharType="begin"/>
          </w:r>
          <w:r>
            <w:instrText xml:space="preserve"> HYPERLINK \l "_Toc127196614" </w:instrText>
          </w:r>
          <w:r>
            <w:fldChar w:fldCharType="separate"/>
          </w:r>
          <w:r>
            <w:rPr>
              <w:rStyle w:val="26"/>
            </w:rPr>
            <w:t>午间见证交接班值班表</w:t>
          </w:r>
          <w:r>
            <w:tab/>
          </w:r>
          <w:r>
            <w:fldChar w:fldCharType="begin"/>
          </w:r>
          <w:r>
            <w:instrText xml:space="preserve"> PAGEREF _Toc127196614 \h </w:instrText>
          </w:r>
          <w:r>
            <w:fldChar w:fldCharType="separate"/>
          </w:r>
          <w:r>
            <w:t>25</w:t>
          </w:r>
          <w:r>
            <w:fldChar w:fldCharType="end"/>
          </w:r>
          <w:r>
            <w:fldChar w:fldCharType="end"/>
          </w:r>
        </w:p>
        <w:p>
          <w:pPr>
            <w:pStyle w:val="13"/>
            <w:tabs>
              <w:tab w:val="right" w:leader="dot" w:pos="8296"/>
            </w:tabs>
            <w:rPr>
              <w:szCs w:val="22"/>
            </w:rPr>
          </w:pPr>
          <w:r>
            <w:fldChar w:fldCharType="begin"/>
          </w:r>
          <w:r>
            <w:instrText xml:space="preserve"> HYPERLINK \l "_Toc127196615" </w:instrText>
          </w:r>
          <w:r>
            <w:fldChar w:fldCharType="separate"/>
          </w:r>
          <w:r>
            <w:rPr>
              <w:rStyle w:val="26"/>
            </w:rPr>
            <w:t>宿州市公共资源交易中心隔夜评标管理办法（试行）</w:t>
          </w:r>
          <w:r>
            <w:tab/>
          </w:r>
          <w:r>
            <w:fldChar w:fldCharType="begin"/>
          </w:r>
          <w:r>
            <w:instrText xml:space="preserve"> PAGEREF _Toc127196615 \h </w:instrText>
          </w:r>
          <w:r>
            <w:fldChar w:fldCharType="separate"/>
          </w:r>
          <w:r>
            <w:t>26</w:t>
          </w:r>
          <w:r>
            <w:fldChar w:fldCharType="end"/>
          </w:r>
          <w:r>
            <w:fldChar w:fldCharType="end"/>
          </w:r>
        </w:p>
        <w:p>
          <w:pPr>
            <w:pStyle w:val="9"/>
            <w:tabs>
              <w:tab w:val="right" w:leader="dot" w:pos="8296"/>
            </w:tabs>
            <w:rPr>
              <w:szCs w:val="22"/>
            </w:rPr>
          </w:pPr>
          <w:r>
            <w:fldChar w:fldCharType="begin"/>
          </w:r>
          <w:r>
            <w:instrText xml:space="preserve"> HYPERLINK \l "_Toc127196616" </w:instrText>
          </w:r>
          <w:r>
            <w:fldChar w:fldCharType="separate"/>
          </w:r>
          <w:r>
            <w:rPr>
              <w:rStyle w:val="26"/>
            </w:rPr>
            <w:t>宿州市公共资源交易中心延迟/隔夜评标申请书</w:t>
          </w:r>
          <w:r>
            <w:tab/>
          </w:r>
          <w:r>
            <w:fldChar w:fldCharType="begin"/>
          </w:r>
          <w:r>
            <w:instrText xml:space="preserve"> PAGEREF _Toc127196616 \h </w:instrText>
          </w:r>
          <w:r>
            <w:fldChar w:fldCharType="separate"/>
          </w:r>
          <w:r>
            <w:t>28</w:t>
          </w:r>
          <w:r>
            <w:fldChar w:fldCharType="end"/>
          </w:r>
          <w:r>
            <w:fldChar w:fldCharType="end"/>
          </w:r>
        </w:p>
        <w:p>
          <w:pPr>
            <w:pStyle w:val="13"/>
            <w:tabs>
              <w:tab w:val="right" w:leader="dot" w:pos="8296"/>
            </w:tabs>
            <w:rPr>
              <w:szCs w:val="22"/>
            </w:rPr>
          </w:pPr>
          <w:r>
            <w:fldChar w:fldCharType="begin"/>
          </w:r>
          <w:r>
            <w:instrText xml:space="preserve"> HYPERLINK \l "_Toc127196617" </w:instrText>
          </w:r>
          <w:r>
            <w:fldChar w:fldCharType="separate"/>
          </w:r>
          <w:r>
            <w:rPr>
              <w:rStyle w:val="26"/>
            </w:rPr>
            <w:t>中标通知书见证规范</w:t>
          </w:r>
          <w:r>
            <w:tab/>
          </w:r>
          <w:r>
            <w:fldChar w:fldCharType="begin"/>
          </w:r>
          <w:r>
            <w:instrText xml:space="preserve"> PAGEREF _Toc127196617 \h </w:instrText>
          </w:r>
          <w:r>
            <w:fldChar w:fldCharType="separate"/>
          </w:r>
          <w:r>
            <w:t>29</w:t>
          </w:r>
          <w:r>
            <w:fldChar w:fldCharType="end"/>
          </w:r>
          <w:r>
            <w:fldChar w:fldCharType="end"/>
          </w:r>
        </w:p>
        <w:p>
          <w:pPr>
            <w:pStyle w:val="9"/>
            <w:tabs>
              <w:tab w:val="right" w:leader="dot" w:pos="8296"/>
            </w:tabs>
            <w:rPr>
              <w:szCs w:val="22"/>
            </w:rPr>
          </w:pPr>
          <w:r>
            <w:fldChar w:fldCharType="begin"/>
          </w:r>
          <w:r>
            <w:instrText xml:space="preserve"> HYPERLINK \l "_Toc127196618" </w:instrText>
          </w:r>
          <w:r>
            <w:fldChar w:fldCharType="separate"/>
          </w:r>
          <w:r>
            <w:rPr>
              <w:rStyle w:val="26"/>
              <w:shd w:val="clear" w:color="auto" w:fill="FFFFFF"/>
            </w:rPr>
            <w:t>中标通知书见证异常情况记录表</w:t>
          </w:r>
          <w:r>
            <w:rPr>
              <w:rStyle w:val="26"/>
              <w:rFonts w:ascii="方正仿宋_GBK" w:hAnsi="方正仿宋_GBK" w:cs="方正仿宋_GBK"/>
              <w:shd w:val="clear" w:color="auto" w:fill="FFFFFF"/>
            </w:rPr>
            <w:t>（周报）</w:t>
          </w:r>
          <w:r>
            <w:tab/>
          </w:r>
          <w:r>
            <w:fldChar w:fldCharType="begin"/>
          </w:r>
          <w:r>
            <w:instrText xml:space="preserve"> PAGEREF _Toc127196618 \h </w:instrText>
          </w:r>
          <w:r>
            <w:fldChar w:fldCharType="separate"/>
          </w:r>
          <w:r>
            <w:t>31</w:t>
          </w:r>
          <w:r>
            <w:fldChar w:fldCharType="end"/>
          </w:r>
          <w:r>
            <w:fldChar w:fldCharType="end"/>
          </w:r>
        </w:p>
        <w:p>
          <w:pPr>
            <w:pStyle w:val="9"/>
            <w:tabs>
              <w:tab w:val="right" w:leader="dot" w:pos="8296"/>
            </w:tabs>
            <w:rPr>
              <w:szCs w:val="22"/>
            </w:rPr>
          </w:pPr>
          <w:r>
            <w:fldChar w:fldCharType="begin"/>
          </w:r>
          <w:r>
            <w:instrText xml:space="preserve"> HYPERLINK \l "_Toc127196619" </w:instrText>
          </w:r>
          <w:r>
            <w:fldChar w:fldCharType="separate"/>
          </w:r>
          <w:r>
            <w:rPr>
              <w:rStyle w:val="26"/>
              <w:shd w:val="clear" w:color="auto" w:fill="FFFFFF"/>
            </w:rPr>
            <w:t>中标通知书见证登记表</w:t>
          </w:r>
          <w:r>
            <w:tab/>
          </w:r>
          <w:r>
            <w:fldChar w:fldCharType="begin"/>
          </w:r>
          <w:r>
            <w:instrText xml:space="preserve"> PAGEREF _Toc127196619 \h </w:instrText>
          </w:r>
          <w:r>
            <w:fldChar w:fldCharType="separate"/>
          </w:r>
          <w:r>
            <w:t>32</w:t>
          </w:r>
          <w:r>
            <w:fldChar w:fldCharType="end"/>
          </w:r>
          <w:r>
            <w:fldChar w:fldCharType="end"/>
          </w:r>
        </w:p>
        <w:p>
          <w:pPr>
            <w:pStyle w:val="9"/>
            <w:tabs>
              <w:tab w:val="right" w:leader="dot" w:pos="8296"/>
            </w:tabs>
            <w:ind w:left="0" w:leftChars="0" w:firstLine="420" w:firstLineChars="200"/>
            <w:rPr>
              <w:szCs w:val="22"/>
            </w:rPr>
          </w:pPr>
          <w:r>
            <w:fldChar w:fldCharType="begin"/>
          </w:r>
          <w:r>
            <w:instrText xml:space="preserve"> HYPERLINK \l "_Toc127196620" </w:instrText>
          </w:r>
          <w:r>
            <w:fldChar w:fldCharType="separate"/>
          </w:r>
          <w:r>
            <w:rPr>
              <w:rStyle w:val="26"/>
              <w:shd w:val="clear" w:color="auto" w:fill="FFFFFF"/>
            </w:rPr>
            <w:t>合同公开见证</w:t>
          </w:r>
          <w:r>
            <w:rPr>
              <w:rStyle w:val="26"/>
              <w:rFonts w:hint="eastAsia"/>
              <w:shd w:val="clear" w:color="auto" w:fill="FFFFFF"/>
              <w:lang w:eastAsia="zh-CN"/>
            </w:rPr>
            <w:t>规范</w:t>
          </w:r>
          <w:r>
            <w:tab/>
          </w:r>
          <w:r>
            <w:fldChar w:fldCharType="begin"/>
          </w:r>
          <w:r>
            <w:instrText xml:space="preserve"> PAGEREF _Toc127196620 \h </w:instrText>
          </w:r>
          <w:r>
            <w:fldChar w:fldCharType="separate"/>
          </w:r>
          <w:r>
            <w:t>33</w:t>
          </w:r>
          <w:r>
            <w:fldChar w:fldCharType="end"/>
          </w:r>
          <w:r>
            <w:fldChar w:fldCharType="end"/>
          </w:r>
        </w:p>
        <w:p>
          <w:pPr>
            <w:pStyle w:val="9"/>
            <w:tabs>
              <w:tab w:val="right" w:leader="dot" w:pos="8296"/>
            </w:tabs>
            <w:rPr>
              <w:szCs w:val="22"/>
            </w:rPr>
          </w:pPr>
          <w:r>
            <w:fldChar w:fldCharType="begin"/>
          </w:r>
          <w:r>
            <w:instrText xml:space="preserve"> HYPERLINK \l "_Toc127196621" </w:instrText>
          </w:r>
          <w:r>
            <w:fldChar w:fldCharType="separate"/>
          </w:r>
          <w:r>
            <w:rPr>
              <w:rStyle w:val="26"/>
              <w:shd w:val="clear" w:color="auto" w:fill="FFFFFF"/>
            </w:rPr>
            <w:t>合同公开见证异常情况记录表</w:t>
          </w:r>
          <w:r>
            <w:rPr>
              <w:rStyle w:val="26"/>
              <w:rFonts w:ascii="方正仿宋_GBK" w:hAnsi="方正仿宋_GBK" w:cs="方正仿宋_GBK"/>
              <w:shd w:val="clear" w:color="auto" w:fill="FFFFFF"/>
            </w:rPr>
            <w:t>（周报）</w:t>
          </w:r>
          <w:r>
            <w:tab/>
          </w:r>
          <w:r>
            <w:fldChar w:fldCharType="begin"/>
          </w:r>
          <w:r>
            <w:instrText xml:space="preserve"> PAGEREF _Toc127196621 \h </w:instrText>
          </w:r>
          <w:r>
            <w:fldChar w:fldCharType="separate"/>
          </w:r>
          <w:r>
            <w:t>35</w:t>
          </w:r>
          <w:r>
            <w:fldChar w:fldCharType="end"/>
          </w:r>
          <w:r>
            <w:fldChar w:fldCharType="end"/>
          </w:r>
        </w:p>
        <w:p>
          <w:pPr>
            <w:pStyle w:val="9"/>
            <w:tabs>
              <w:tab w:val="right" w:leader="dot" w:pos="8296"/>
            </w:tabs>
            <w:rPr>
              <w:szCs w:val="22"/>
            </w:rPr>
          </w:pPr>
          <w:r>
            <w:fldChar w:fldCharType="begin"/>
          </w:r>
          <w:r>
            <w:instrText xml:space="preserve"> HYPERLINK \l "_Toc127196622" </w:instrText>
          </w:r>
          <w:r>
            <w:fldChar w:fldCharType="separate"/>
          </w:r>
          <w:r>
            <w:rPr>
              <w:rStyle w:val="26"/>
              <w:shd w:val="clear" w:color="auto" w:fill="FFFFFF"/>
            </w:rPr>
            <w:t>合同公开见证登记表</w:t>
          </w:r>
          <w:r>
            <w:tab/>
          </w:r>
          <w:r>
            <w:fldChar w:fldCharType="begin"/>
          </w:r>
          <w:r>
            <w:instrText xml:space="preserve"> PAGEREF _Toc127196622 \h </w:instrText>
          </w:r>
          <w:r>
            <w:fldChar w:fldCharType="separate"/>
          </w:r>
          <w:r>
            <w:t>36</w:t>
          </w:r>
          <w:r>
            <w:fldChar w:fldCharType="end"/>
          </w:r>
          <w:r>
            <w:fldChar w:fldCharType="end"/>
          </w:r>
        </w:p>
        <w:p>
          <w:pPr>
            <w:pStyle w:val="13"/>
            <w:tabs>
              <w:tab w:val="right" w:leader="dot" w:pos="8296"/>
            </w:tabs>
            <w:rPr>
              <w:szCs w:val="22"/>
            </w:rPr>
          </w:pPr>
          <w:r>
            <w:fldChar w:fldCharType="begin"/>
          </w:r>
          <w:r>
            <w:instrText xml:space="preserve"> HYPERLINK \l "_Toc127196623" </w:instrText>
          </w:r>
          <w:r>
            <w:fldChar w:fldCharType="separate"/>
          </w:r>
          <w:r>
            <w:rPr>
              <w:rStyle w:val="26"/>
              <w:shd w:val="clear" w:color="auto" w:fill="FFFFFF"/>
            </w:rPr>
            <w:t>重点项目见证</w:t>
          </w:r>
          <w:r>
            <w:tab/>
          </w:r>
          <w:r>
            <w:fldChar w:fldCharType="begin"/>
          </w:r>
          <w:r>
            <w:instrText xml:space="preserve"> PAGEREF _Toc127196623 \h </w:instrText>
          </w:r>
          <w:r>
            <w:fldChar w:fldCharType="separate"/>
          </w:r>
          <w:r>
            <w:t>38</w:t>
          </w:r>
          <w:r>
            <w:fldChar w:fldCharType="end"/>
          </w:r>
          <w:r>
            <w:fldChar w:fldCharType="end"/>
          </w:r>
        </w:p>
        <w:p>
          <w:pPr>
            <w:pStyle w:val="9"/>
            <w:tabs>
              <w:tab w:val="right" w:leader="dot" w:pos="8296"/>
            </w:tabs>
            <w:rPr>
              <w:szCs w:val="22"/>
            </w:rPr>
          </w:pPr>
          <w:r>
            <w:fldChar w:fldCharType="begin"/>
          </w:r>
          <w:r>
            <w:instrText xml:space="preserve"> HYPERLINK \l "_Toc127196624" </w:instrText>
          </w:r>
          <w:r>
            <w:fldChar w:fldCharType="separate"/>
          </w:r>
          <w:r>
            <w:rPr>
              <w:rStyle w:val="26"/>
            </w:rPr>
            <w:t>重点项目见证汇总表</w:t>
          </w:r>
          <w:r>
            <w:tab/>
          </w:r>
          <w:r>
            <w:fldChar w:fldCharType="begin"/>
          </w:r>
          <w:r>
            <w:instrText xml:space="preserve"> PAGEREF _Toc127196624 \h </w:instrText>
          </w:r>
          <w:r>
            <w:fldChar w:fldCharType="separate"/>
          </w:r>
          <w:r>
            <w:t>39</w:t>
          </w:r>
          <w:r>
            <w:fldChar w:fldCharType="end"/>
          </w:r>
          <w:r>
            <w:fldChar w:fldCharType="end"/>
          </w:r>
        </w:p>
        <w:p>
          <w:pPr>
            <w:pStyle w:val="13"/>
            <w:tabs>
              <w:tab w:val="right" w:leader="dot" w:pos="8296"/>
            </w:tabs>
            <w:rPr>
              <w:szCs w:val="22"/>
            </w:rPr>
          </w:pPr>
          <w:r>
            <w:fldChar w:fldCharType="begin"/>
          </w:r>
          <w:r>
            <w:instrText xml:space="preserve"> HYPERLINK \l "_Toc127196625" </w:instrText>
          </w:r>
          <w:r>
            <w:fldChar w:fldCharType="separate"/>
          </w:r>
          <w:r>
            <w:rPr>
              <w:rStyle w:val="26"/>
              <w:shd w:val="clear" w:color="auto" w:fill="FFFFFF"/>
            </w:rPr>
            <w:t>监控室管理制度</w:t>
          </w:r>
          <w:r>
            <w:tab/>
          </w:r>
          <w:r>
            <w:fldChar w:fldCharType="begin"/>
          </w:r>
          <w:r>
            <w:instrText xml:space="preserve"> PAGEREF _Toc127196625 \h </w:instrText>
          </w:r>
          <w:r>
            <w:fldChar w:fldCharType="separate"/>
          </w:r>
          <w:r>
            <w:t>40</w:t>
          </w:r>
          <w:r>
            <w:fldChar w:fldCharType="end"/>
          </w:r>
          <w:r>
            <w:fldChar w:fldCharType="end"/>
          </w:r>
        </w:p>
        <w:p>
          <w:pPr>
            <w:pStyle w:val="13"/>
            <w:tabs>
              <w:tab w:val="right" w:leader="dot" w:pos="8296"/>
            </w:tabs>
            <w:rPr>
              <w:szCs w:val="22"/>
            </w:rPr>
          </w:pPr>
          <w:r>
            <w:fldChar w:fldCharType="begin"/>
          </w:r>
          <w:r>
            <w:instrText xml:space="preserve"> HYPERLINK \l "_Toc127196626" </w:instrText>
          </w:r>
          <w:r>
            <w:fldChar w:fldCharType="separate"/>
          </w:r>
          <w:r>
            <w:rPr>
              <w:rStyle w:val="26"/>
              <w:shd w:val="clear" w:color="auto" w:fill="FFFFFF"/>
            </w:rPr>
            <w:t>评标专家日常考核记录表</w:t>
          </w:r>
          <w:r>
            <w:tab/>
          </w:r>
          <w:r>
            <w:fldChar w:fldCharType="begin"/>
          </w:r>
          <w:r>
            <w:instrText xml:space="preserve"> PAGEREF _Toc127196626 \h </w:instrText>
          </w:r>
          <w:r>
            <w:fldChar w:fldCharType="separate"/>
          </w:r>
          <w:r>
            <w:t>42</w:t>
          </w:r>
          <w:r>
            <w:fldChar w:fldCharType="end"/>
          </w:r>
          <w:r>
            <w:fldChar w:fldCharType="end"/>
          </w:r>
        </w:p>
        <w:p>
          <w:pPr>
            <w:pStyle w:val="13"/>
            <w:tabs>
              <w:tab w:val="right" w:leader="dot" w:pos="8296"/>
            </w:tabs>
          </w:pPr>
          <w:r>
            <w:fldChar w:fldCharType="begin"/>
          </w:r>
          <w:r>
            <w:instrText xml:space="preserve"> HYPERLINK \l "_Toc127196627" </w:instrText>
          </w:r>
          <w:r>
            <w:fldChar w:fldCharType="separate"/>
          </w:r>
          <w:r>
            <w:rPr>
              <w:rStyle w:val="26"/>
              <w:shd w:val="clear" w:color="auto" w:fill="FFFFFF"/>
            </w:rPr>
            <w:t>代理机构中介机构服务评价表</w:t>
          </w:r>
          <w:r>
            <w:tab/>
          </w:r>
          <w:r>
            <w:fldChar w:fldCharType="begin"/>
          </w:r>
          <w:r>
            <w:instrText xml:space="preserve"> PAGEREF _Toc127196627 \h </w:instrText>
          </w:r>
          <w:r>
            <w:fldChar w:fldCharType="separate"/>
          </w:r>
          <w:r>
            <w:t>4</w:t>
          </w:r>
          <w:r>
            <w:rPr>
              <w:rFonts w:hint="eastAsia"/>
              <w:lang w:val="en-US" w:eastAsia="zh-CN"/>
            </w:rPr>
            <w:t>4</w:t>
          </w:r>
          <w:r>
            <w:fldChar w:fldCharType="end"/>
          </w:r>
          <w:r>
            <w:fldChar w:fldCharType="end"/>
          </w:r>
        </w:p>
        <w:p>
          <w:pPr>
            <w:pStyle w:val="13"/>
            <w:tabs>
              <w:tab w:val="right" w:leader="dot" w:pos="8296"/>
            </w:tabs>
            <w:rPr>
              <w:rStyle w:val="26"/>
              <w:rFonts w:hint="eastAsia" w:ascii="Times New Roman" w:hAnsi="Times New Roman" w:eastAsia="宋体" w:cs="Times New Roman"/>
              <w:kern w:val="2"/>
              <w:sz w:val="21"/>
              <w:szCs w:val="24"/>
              <w:lang w:val="en-US" w:eastAsia="zh-CN" w:bidi="ar-SA"/>
            </w:rPr>
          </w:pPr>
          <w:r>
            <w:rPr>
              <w:rStyle w:val="26"/>
              <w:rFonts w:hint="eastAsia" w:ascii="Times New Roman" w:hAnsi="Times New Roman" w:eastAsia="宋体" w:cs="Times New Roman"/>
              <w:kern w:val="2"/>
              <w:sz w:val="21"/>
              <w:szCs w:val="24"/>
              <w:lang w:val="en-US" w:eastAsia="zh-CN" w:bidi="ar-SA"/>
            </w:rPr>
            <w:t>关于进一步规范合同和履约信息公开等工作的通知</w:t>
          </w:r>
          <w:r>
            <w:tab/>
          </w:r>
          <w:r>
            <w:rPr>
              <w:rStyle w:val="26"/>
              <w:rFonts w:hint="eastAsia" w:ascii="Times New Roman" w:hAnsi="Times New Roman" w:eastAsia="宋体" w:cs="Times New Roman"/>
              <w:kern w:val="2"/>
              <w:sz w:val="21"/>
              <w:szCs w:val="24"/>
              <w:lang w:val="en-US" w:eastAsia="zh-CN" w:bidi="ar-SA"/>
            </w:rPr>
            <w:t>46</w:t>
          </w:r>
        </w:p>
        <w:p>
          <w:pPr>
            <w:rPr>
              <w:rFonts w:hint="default"/>
              <w:lang w:val="en-US" w:eastAsia="zh-CN"/>
            </w:rPr>
          </w:pPr>
        </w:p>
        <w:p/>
        <w:p>
          <w:r>
            <w:rPr>
              <w:b/>
              <w:bCs/>
              <w:lang w:val="zh-CN"/>
            </w:rPr>
            <w:fldChar w:fldCharType="end"/>
          </w:r>
        </w:p>
      </w:sdtContent>
    </w:sdt>
    <w:p>
      <w:pPr>
        <w:rPr>
          <w:rFonts w:ascii="方正仿宋_GBK" w:hAnsi="方正仿宋_GBK" w:eastAsia="方正仿宋_GBK" w:cs="方正仿宋_GBK"/>
          <w:color w:val="333333"/>
          <w:kern w:val="0"/>
          <w:sz w:val="28"/>
          <w:szCs w:val="28"/>
          <w:shd w:val="clear" w:color="auto" w:fill="FFFFFF"/>
        </w:rPr>
      </w:pPr>
      <w:r>
        <w:rPr>
          <w:rFonts w:ascii="方正仿宋_GBK" w:hAnsi="方正仿宋_GBK" w:eastAsia="方正仿宋_GBK" w:cs="方正仿宋_GBK"/>
          <w:color w:val="333333"/>
          <w:kern w:val="0"/>
          <w:sz w:val="28"/>
          <w:szCs w:val="28"/>
          <w:shd w:val="clear" w:color="auto" w:fill="FFFFFF"/>
        </w:rPr>
        <w:br w:type="page"/>
      </w:r>
    </w:p>
    <w:p>
      <w:pPr>
        <w:pStyle w:val="5"/>
        <w:jc w:val="center"/>
        <w:rPr>
          <w:sz w:val="36"/>
          <w:szCs w:val="52"/>
          <w:shd w:val="clear" w:color="auto" w:fill="FFFFFF"/>
        </w:rPr>
      </w:pPr>
      <w:bookmarkStart w:id="0" w:name="_Toc121741971"/>
      <w:bookmarkStart w:id="1" w:name="_Toc127196594"/>
      <w:bookmarkStart w:id="2" w:name="_Toc127195815"/>
      <w:bookmarkStart w:id="3" w:name="_Toc127196474"/>
      <w:r>
        <w:rPr>
          <w:sz w:val="36"/>
          <w:szCs w:val="52"/>
          <w:shd w:val="clear" w:color="auto" w:fill="FFFFFF"/>
        </w:rPr>
        <w:t>宿州市公共资源交易中心见证服务实施细则</w:t>
      </w:r>
    </w:p>
    <w:p>
      <w:pPr>
        <w:pStyle w:val="5"/>
        <w:jc w:val="center"/>
        <w:rPr>
          <w:sz w:val="36"/>
          <w:szCs w:val="52"/>
          <w:shd w:val="clear" w:color="auto" w:fill="FFFFFF"/>
        </w:rPr>
      </w:pPr>
      <w:r>
        <w:rPr>
          <w:sz w:val="36"/>
          <w:szCs w:val="52"/>
        </w:rPr>
        <w:t>（试行）</w:t>
      </w:r>
      <w:bookmarkEnd w:id="0"/>
    </w:p>
    <w:p>
      <w:pPr>
        <w:ind w:firstLine="643" w:firstLineChars="200"/>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b/>
          <w:bCs/>
          <w:color w:val="333333"/>
          <w:kern w:val="0"/>
          <w:sz w:val="32"/>
          <w:szCs w:val="32"/>
          <w:shd w:val="clear" w:color="auto" w:fill="FFFFFF"/>
        </w:rPr>
        <w:t>第一条</w:t>
      </w:r>
      <w:r>
        <w:rPr>
          <w:rFonts w:hint="eastAsia" w:ascii="方正仿宋_GBK" w:hAnsi="方正仿宋_GBK" w:eastAsia="方正仿宋_GBK" w:cs="方正仿宋_GBK"/>
          <w:color w:val="333333"/>
          <w:kern w:val="0"/>
          <w:sz w:val="32"/>
          <w:szCs w:val="32"/>
          <w:shd w:val="clear" w:color="auto" w:fill="FFFFFF"/>
        </w:rPr>
        <w:t xml:space="preserve">  为进一步规范宿州市公共资源交易中心（以下简称“中心”）</w:t>
      </w:r>
      <w:r>
        <w:rPr>
          <w:rFonts w:hint="eastAsia" w:ascii="方正仿宋_GBK" w:hAnsi="方正仿宋_GBK" w:eastAsia="方正仿宋_GBK" w:cs="方正仿宋_GBK"/>
          <w:color w:val="333333"/>
          <w:kern w:val="0"/>
          <w:sz w:val="32"/>
          <w:szCs w:val="32"/>
          <w:shd w:val="clear" w:color="auto" w:fill="FFFFFF"/>
          <w:lang w:eastAsia="zh-CN"/>
        </w:rPr>
        <w:t>进场交易项目</w:t>
      </w:r>
      <w:r>
        <w:rPr>
          <w:rFonts w:hint="eastAsia" w:ascii="方正仿宋_GBK" w:hAnsi="方正仿宋_GBK" w:eastAsia="方正仿宋_GBK" w:cs="方正仿宋_GBK"/>
          <w:color w:val="333333"/>
          <w:kern w:val="0"/>
          <w:sz w:val="32"/>
          <w:szCs w:val="32"/>
          <w:shd w:val="clear" w:color="auto" w:fill="FFFFFF"/>
        </w:rPr>
        <w:t>见证</w:t>
      </w:r>
      <w:r>
        <w:rPr>
          <w:rFonts w:hint="eastAsia" w:ascii="方正仿宋_GBK" w:hAnsi="方正仿宋_GBK" w:eastAsia="方正仿宋_GBK" w:cs="方正仿宋_GBK"/>
          <w:color w:val="333333"/>
          <w:kern w:val="0"/>
          <w:sz w:val="32"/>
          <w:szCs w:val="32"/>
          <w:shd w:val="clear" w:color="auto" w:fill="FFFFFF"/>
          <w:lang w:eastAsia="zh-CN"/>
        </w:rPr>
        <w:t>服务</w:t>
      </w:r>
      <w:r>
        <w:rPr>
          <w:rFonts w:hint="eastAsia" w:ascii="方正仿宋_GBK" w:hAnsi="方正仿宋_GBK" w:eastAsia="方正仿宋_GBK" w:cs="方正仿宋_GBK"/>
          <w:color w:val="333333"/>
          <w:kern w:val="0"/>
          <w:sz w:val="32"/>
          <w:szCs w:val="32"/>
          <w:shd w:val="clear" w:color="auto" w:fill="FFFFFF"/>
        </w:rPr>
        <w:t>，营造公平、公正、公开的交易环境，根据《中华人民共和国招标投标法》及实施条例、《中华人民共和国政府采购法》及实施条例、《宿州市公共资源交易监督管理办法》、《国务院办公厅转发</w:t>
      </w:r>
      <w:bookmarkStart w:id="49" w:name="_GoBack"/>
      <w:bookmarkEnd w:id="49"/>
      <w:r>
        <w:rPr>
          <w:rFonts w:hint="eastAsia" w:ascii="方正仿宋_GBK" w:hAnsi="方正仿宋_GBK" w:eastAsia="方正仿宋_GBK" w:cs="方正仿宋_GBK"/>
          <w:color w:val="333333"/>
          <w:kern w:val="0"/>
          <w:sz w:val="32"/>
          <w:szCs w:val="32"/>
          <w:shd w:val="clear" w:color="auto" w:fill="FFFFFF"/>
        </w:rPr>
        <w:t>国家发展改革委关于深化公共资源交易平台整合共享指导意见的通知》（国办函〔2019〕41号）、《宿州市公共资源交易招标代理机构及从业人员考评细则（暂行）》</w:t>
      </w:r>
      <w:r>
        <w:rPr>
          <w:rFonts w:hint="eastAsia" w:ascii="方正仿宋_GBK" w:hAnsi="方正仿宋_GBK" w:eastAsia="方正仿宋_GBK" w:cs="方正仿宋_GBK"/>
          <w:color w:val="333333"/>
          <w:kern w:val="0"/>
          <w:sz w:val="32"/>
          <w:szCs w:val="32"/>
          <w:shd w:val="clear" w:color="auto" w:fill="FFFFFF"/>
          <w:lang w:eastAsia="zh-CN"/>
        </w:rPr>
        <w:t>、</w:t>
      </w:r>
      <w:r>
        <w:rPr>
          <w:rFonts w:hint="eastAsia" w:ascii="方正仿宋_GBK" w:hAnsi="方正仿宋_GBK" w:eastAsia="方正仿宋_GBK" w:cs="方正仿宋_GBK"/>
          <w:color w:val="333333"/>
          <w:kern w:val="0"/>
          <w:sz w:val="32"/>
          <w:szCs w:val="32"/>
          <w:shd w:val="clear" w:color="auto" w:fill="FFFFFF"/>
        </w:rPr>
        <w:t>《宿州市公共资源交易市场竞争主体不良行为记录和披露办法》等法律法规及规章制度，结合中心工作实际，制定本细则。</w:t>
      </w:r>
    </w:p>
    <w:p>
      <w:pPr>
        <w:ind w:firstLine="643" w:firstLineChars="200"/>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b/>
          <w:bCs/>
          <w:color w:val="333333"/>
          <w:kern w:val="0"/>
          <w:sz w:val="32"/>
          <w:szCs w:val="32"/>
          <w:shd w:val="clear" w:color="auto" w:fill="FFFFFF"/>
        </w:rPr>
        <w:t>第二条</w:t>
      </w:r>
      <w:r>
        <w:rPr>
          <w:rFonts w:hint="eastAsia" w:ascii="方正仿宋_GBK" w:hAnsi="方正仿宋_GBK" w:eastAsia="方正仿宋_GBK" w:cs="方正仿宋_GBK"/>
          <w:color w:val="333333"/>
          <w:kern w:val="0"/>
          <w:sz w:val="32"/>
          <w:szCs w:val="32"/>
          <w:shd w:val="clear" w:color="auto" w:fill="FFFFFF"/>
        </w:rPr>
        <w:t xml:space="preserve">  本细则适用于依法应进平台的政府投资性质的建设工程、政府采购等开评标</w:t>
      </w:r>
      <w:r>
        <w:rPr>
          <w:rFonts w:hint="eastAsia" w:ascii="方正仿宋_GBK" w:hAnsi="方正仿宋_GBK" w:eastAsia="方正仿宋_GBK" w:cs="方正仿宋_GBK"/>
          <w:color w:val="333333"/>
          <w:kern w:val="0"/>
          <w:sz w:val="32"/>
          <w:szCs w:val="32"/>
          <w:shd w:val="clear" w:color="auto" w:fill="FFFFFF"/>
          <w:lang w:eastAsia="zh-CN"/>
        </w:rPr>
        <w:t>各</w:t>
      </w:r>
      <w:r>
        <w:rPr>
          <w:rFonts w:hint="eastAsia" w:ascii="方正仿宋_GBK" w:hAnsi="方正仿宋_GBK" w:eastAsia="方正仿宋_GBK" w:cs="方正仿宋_GBK"/>
          <w:color w:val="333333"/>
          <w:kern w:val="0"/>
          <w:sz w:val="32"/>
          <w:szCs w:val="32"/>
          <w:shd w:val="clear" w:color="auto" w:fill="FFFFFF"/>
        </w:rPr>
        <w:t>环节的见证服务</w:t>
      </w:r>
      <w:r>
        <w:rPr>
          <w:rFonts w:hint="eastAsia" w:ascii="方正仿宋_GBK" w:hAnsi="方正仿宋_GBK" w:eastAsia="方正仿宋_GBK" w:cs="方正仿宋_GBK"/>
          <w:color w:val="333333"/>
          <w:kern w:val="0"/>
          <w:sz w:val="32"/>
          <w:szCs w:val="32"/>
          <w:shd w:val="clear" w:color="auto" w:fill="FFFFFF"/>
          <w:lang w:eastAsia="zh-CN"/>
        </w:rPr>
        <w:t>。</w:t>
      </w:r>
    </w:p>
    <w:p>
      <w:pPr>
        <w:ind w:firstLine="640" w:firstLineChars="200"/>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非依法应进平台、借用平台或其他交易项目由项目监管部门自行见证，中心项目见证科给予提供监控室、音视频见证设施设备等工作便利。</w:t>
      </w:r>
    </w:p>
    <w:p>
      <w:pPr>
        <w:ind w:firstLine="643" w:firstLineChars="200"/>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b/>
          <w:bCs/>
          <w:color w:val="333333"/>
          <w:kern w:val="0"/>
          <w:sz w:val="32"/>
          <w:szCs w:val="32"/>
          <w:shd w:val="clear" w:color="auto" w:fill="FFFFFF"/>
        </w:rPr>
        <w:t>第三条</w:t>
      </w:r>
      <w:r>
        <w:rPr>
          <w:rFonts w:hint="eastAsia" w:ascii="方正仿宋_GBK" w:hAnsi="方正仿宋_GBK" w:eastAsia="方正仿宋_GBK" w:cs="方正仿宋_GBK"/>
          <w:color w:val="333333"/>
          <w:kern w:val="0"/>
          <w:sz w:val="32"/>
          <w:szCs w:val="32"/>
          <w:shd w:val="clear" w:color="auto" w:fill="FFFFFF"/>
        </w:rPr>
        <w:t xml:space="preserve">  日常项目见证的主要场所是监控室，配置专职见证员1名，轮值</w:t>
      </w:r>
      <w:r>
        <w:rPr>
          <w:rFonts w:hint="eastAsia" w:ascii="方正仿宋_GBK" w:hAnsi="方正仿宋_GBK" w:eastAsia="方正仿宋_GBK" w:cs="方正仿宋_GBK"/>
          <w:color w:val="333333"/>
          <w:kern w:val="0"/>
          <w:sz w:val="32"/>
          <w:szCs w:val="32"/>
          <w:shd w:val="clear" w:color="auto" w:fill="FFFFFF"/>
          <w:lang w:eastAsia="zh-CN"/>
        </w:rPr>
        <w:t>（午间、夜间）</w:t>
      </w:r>
      <w:r>
        <w:rPr>
          <w:rFonts w:hint="eastAsia" w:ascii="方正仿宋_GBK" w:hAnsi="方正仿宋_GBK" w:eastAsia="方正仿宋_GBK" w:cs="方正仿宋_GBK"/>
          <w:color w:val="333333"/>
          <w:kern w:val="0"/>
          <w:sz w:val="32"/>
          <w:szCs w:val="32"/>
          <w:shd w:val="clear" w:color="auto" w:fill="FFFFFF"/>
        </w:rPr>
        <w:t>见证员1名，重点项目见证员1名，中标通知书见证、合同公开见证员1名</w:t>
      </w:r>
      <w:r>
        <w:rPr>
          <w:rFonts w:hint="eastAsia" w:ascii="方正仿宋_GBK" w:hAnsi="方正仿宋_GBK" w:eastAsia="方正仿宋_GBK" w:cs="方正仿宋_GBK"/>
          <w:color w:val="333333"/>
          <w:kern w:val="0"/>
          <w:sz w:val="32"/>
          <w:szCs w:val="32"/>
          <w:shd w:val="clear" w:color="auto" w:fill="FFFFFF"/>
          <w:lang w:eastAsia="zh-CN"/>
        </w:rPr>
        <w:t>。</w:t>
      </w:r>
    </w:p>
    <w:p>
      <w:pPr>
        <w:ind w:firstLine="640" w:firstLineChars="200"/>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eastAsia="zh-CN"/>
        </w:rPr>
        <w:t>各</w:t>
      </w:r>
      <w:r>
        <w:rPr>
          <w:rFonts w:hint="eastAsia" w:ascii="方正仿宋_GBK" w:hAnsi="方正仿宋_GBK" w:eastAsia="方正仿宋_GBK" w:cs="方正仿宋_GBK"/>
          <w:color w:val="333333"/>
          <w:kern w:val="0"/>
          <w:sz w:val="32"/>
          <w:szCs w:val="32"/>
          <w:shd w:val="clear" w:color="auto" w:fill="FFFFFF"/>
        </w:rPr>
        <w:t>见证员挂牌上岗，按照职责做好监控室设备养护、报修，加强与信息技术人员及其他项目服务人员的联系和沟通，及时反馈开评标及相关系统的“梗阻”环节，提高系统服务效率。</w:t>
      </w:r>
    </w:p>
    <w:p>
      <w:pPr>
        <w:pStyle w:val="31"/>
        <w:ind w:firstLine="643"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kern w:val="0"/>
          <w:sz w:val="32"/>
          <w:szCs w:val="32"/>
          <w:shd w:val="clear" w:color="auto" w:fill="FFFFFF"/>
        </w:rPr>
        <w:t>第四条</w:t>
      </w:r>
      <w:r>
        <w:rPr>
          <w:rFonts w:hint="eastAsia" w:ascii="方正仿宋_GBK" w:hAnsi="方正仿宋_GBK" w:eastAsia="方正仿宋_GBK" w:cs="方正仿宋_GBK"/>
          <w:color w:val="333333"/>
          <w:kern w:val="0"/>
          <w:sz w:val="32"/>
          <w:szCs w:val="32"/>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lang w:val="en-US" w:eastAsia="zh-CN" w:bidi="ar-SA"/>
        </w:rPr>
        <w:t>日常项目见证作为招标代理机构及工作人员、评标评审专家的评价依据之一，与社会监督员或招标人代表开评标期间评价信息、数字化智能信用评价及其他业务科室考评反馈等共同构成招标代理机构及评标评审专家的评价或考评依据。</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因各类项目跨度时间长、考评时限不同，按照“分类评价、阶段考评、反馈追加”的原则，中心见证员就项目见证过程中对招标代理机构及工作人员、评标评审专家的见证材料妥善保管，社会监督员或招标人代表对招标代理机构及工作人员、评标评审专家的跟踪评价信息作为档案材料上传电子档案系统；因质疑投诉信访审计及各类回溯性监督出具的反映各类参与主体涉及违法违规等需追加评价或考评的，依其反馈及时移交综合管理部门。</w:t>
      </w:r>
    </w:p>
    <w:p>
      <w:pPr>
        <w:pStyle w:val="31"/>
        <w:ind w:firstLine="643"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kern w:val="0"/>
          <w:sz w:val="32"/>
          <w:szCs w:val="32"/>
          <w:shd w:val="clear" w:color="auto" w:fill="FFFFFF"/>
        </w:rPr>
        <w:t xml:space="preserve">第五条  </w:t>
      </w:r>
      <w:r>
        <w:rPr>
          <w:rFonts w:hint="eastAsia" w:ascii="方正仿宋_GBK" w:hAnsi="方正仿宋_GBK" w:eastAsia="方正仿宋_GBK" w:cs="方正仿宋_GBK"/>
          <w:color w:val="333333"/>
          <w:kern w:val="0"/>
          <w:sz w:val="32"/>
          <w:szCs w:val="32"/>
          <w:shd w:val="clear" w:color="auto" w:fill="FFFFFF"/>
          <w:lang w:val="en-US" w:eastAsia="zh-CN" w:bidi="ar-SA"/>
        </w:rPr>
        <w:t>对依法应进平台的政府投资性质的建设工程、政府采购项目实行开评标全程现场及音视频见证；对重点项目实行“一对一”重点见证。</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重点项目指市级重大项目、大数据筛选存在问题的项目、行政监督管理部门反馈问题类型较多的项目、考核评价排名靠后的中介服务机构代理的项目、中介服务机构首次代理进场的项目等。</w:t>
      </w:r>
    </w:p>
    <w:p>
      <w:pPr>
        <w:pStyle w:val="31"/>
        <w:ind w:firstLine="643"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kern w:val="0"/>
          <w:sz w:val="32"/>
          <w:szCs w:val="32"/>
          <w:shd w:val="clear" w:color="auto" w:fill="FFFFFF"/>
        </w:rPr>
        <w:t>第六条</w:t>
      </w:r>
      <w:r>
        <w:rPr>
          <w:rFonts w:hint="eastAsia" w:ascii="方正仿宋_GBK" w:hAnsi="方正仿宋_GBK" w:eastAsia="方正仿宋_GBK" w:cs="方正仿宋_GBK"/>
          <w:color w:val="333333"/>
          <w:kern w:val="0"/>
          <w:sz w:val="32"/>
          <w:szCs w:val="32"/>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lang w:val="en-US" w:eastAsia="zh-CN" w:bidi="ar-SA"/>
        </w:rPr>
        <w:t xml:space="preserve">见证员应立足开评标现场服务，主动强化见证服务意识和能力培育，重点做好开评标期间异常情况的搜集、记录和转办，常规通过线上渠道推送综合管理部门。  </w:t>
      </w:r>
    </w:p>
    <w:p>
      <w:pPr>
        <w:pStyle w:val="31"/>
        <w:ind w:firstLine="640" w:firstLineChars="200"/>
        <w:rPr>
          <w:rFonts w:hint="default"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见证员按照中心各制度规则，协助维护正常交易秩序，发现违规违法行为应当及时提醒、记录、保存证据，立即报告中心在/值班相关负责人，并积极配合有关行政监管部门调查处理。</w:t>
      </w:r>
    </w:p>
    <w:p>
      <w:pPr>
        <w:pStyle w:val="31"/>
        <w:ind w:firstLine="643"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kern w:val="0"/>
          <w:sz w:val="32"/>
          <w:szCs w:val="32"/>
          <w:shd w:val="clear" w:color="auto" w:fill="FFFFFF"/>
        </w:rPr>
        <w:t>第七条</w:t>
      </w:r>
      <w:r>
        <w:rPr>
          <w:rFonts w:hint="eastAsia" w:ascii="方正仿宋_GBK" w:hAnsi="方正仿宋_GBK" w:eastAsia="方正仿宋_GBK" w:cs="方正仿宋_GBK"/>
          <w:color w:val="333333"/>
          <w:kern w:val="0"/>
          <w:sz w:val="32"/>
          <w:szCs w:val="32"/>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lang w:val="en-US" w:eastAsia="zh-CN" w:bidi="ar-SA"/>
        </w:rPr>
        <w:t>规范内线电话使用</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内线电话用于连通评标室与开标室，仅限项目评审期间因系统技术需求或紧急联系时使用。</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招标代理现场工作人员应着工作服、佩戴统一“标识”和工作牌，在中心见证人员的许可下，先登记预通话内容，再按照标室安排拨打电话；内线电话使用期间全程录音、录像，接听者或去电者要如实、详细记录通话内容，不得伪造或故意扭曲,自觉规范自身行为，不得在内线电话中透露项目评审过程应当保密的信息。</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使用者应轻拿轻放、妥善使用,不得损坏，如发现话机、线路等故障要及时告知监控室，见证人员及时反馈信息技术科报修，务必确保线路畅通。</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接听者或去电者如发现非本公司所代理项目评标室的来电或去电,需立即告知对方,并迅速挂机转接/拨。</w:t>
      </w:r>
    </w:p>
    <w:p>
      <w:pPr>
        <w:pStyle w:val="31"/>
        <w:ind w:firstLine="643"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kern w:val="0"/>
          <w:sz w:val="32"/>
          <w:szCs w:val="32"/>
          <w:shd w:val="clear" w:color="auto" w:fill="FFFFFF"/>
        </w:rPr>
        <w:t>第八条</w:t>
      </w:r>
      <w:r>
        <w:rPr>
          <w:rFonts w:hint="eastAsia" w:ascii="方正仿宋_GBK" w:hAnsi="方正仿宋_GBK" w:eastAsia="方正仿宋_GBK" w:cs="方正仿宋_GBK"/>
          <w:color w:val="333333"/>
          <w:kern w:val="0"/>
          <w:sz w:val="32"/>
          <w:szCs w:val="32"/>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lang w:val="en-US" w:eastAsia="zh-CN" w:bidi="ar-SA"/>
        </w:rPr>
        <w:t>规范场外监督专席</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监控室专设场外监督席，集成配置显示屏及耳机，显示屏与各评标室一一对应，同步显示需监督监控画面，并通过耳机实时听取评标评审情况。</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场外监督人员包括项目监管机构委派监督人员、招标人监督人员及招标代理机构场外服务人员等，重点项目场外监督人员主要是中心项目全程音视频见证人员。项目评审期间，场外监督人员如需在监督专席监督的，需表明监督身份、签订《场外监督人员保密承诺书》。</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场外监督人员在监督期间发现的各类违法违规行为应实时反馈中心见证员，由见证员记录、保存及协助各监管部门移交相关证据。</w:t>
      </w:r>
    </w:p>
    <w:p>
      <w:pPr>
        <w:pStyle w:val="31"/>
        <w:ind w:firstLine="643"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kern w:val="0"/>
          <w:sz w:val="32"/>
          <w:szCs w:val="32"/>
          <w:shd w:val="clear" w:color="auto" w:fill="FFFFFF"/>
        </w:rPr>
        <w:t>第九条</w:t>
      </w:r>
      <w:r>
        <w:rPr>
          <w:rFonts w:hint="eastAsia" w:ascii="方正仿宋_GBK" w:hAnsi="方正仿宋_GBK" w:eastAsia="方正仿宋_GBK" w:cs="方正仿宋_GBK"/>
          <w:color w:val="333333"/>
          <w:kern w:val="0"/>
          <w:sz w:val="32"/>
          <w:szCs w:val="32"/>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lang w:val="en-US" w:eastAsia="zh-CN" w:bidi="ar-SA"/>
        </w:rPr>
        <w:t>常规做好轨迹监测</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代理机构工作人员应在项目评审活动开始前领取轨迹牌，经登记领取机构、标室、数量等内容后与专家绑定，并提醒评审委员会各成员在评审期间全程佩戴、不得私自摘下或交换。</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经绑定后的轨迹牌实现基站与专家身份信息匹配、自动对接，实时推送佩戴人员位置信息，见证人员通过数字见证系统实时监测评审专家的活动轨迹，发现轨迹牌工作异常的及时通知相应的评标室。</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见证员及时查看数字见证系统抓取的轨迹预警，强化分析研判，发现涉嫌评审活动违规违法的给予标记、记录、转办，并常规截录标记时间点前后30秒左右的音视频作为佐证材料。</w:t>
      </w:r>
    </w:p>
    <w:p>
      <w:pPr>
        <w:ind w:firstLine="643" w:firstLineChars="200"/>
        <w:jc w:val="left"/>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kern w:val="0"/>
          <w:sz w:val="32"/>
          <w:szCs w:val="32"/>
          <w:shd w:val="clear" w:color="auto" w:fill="FFFFFF"/>
        </w:rPr>
        <w:t xml:space="preserve">第十条 </w:t>
      </w:r>
      <w:r>
        <w:rPr>
          <w:rFonts w:hint="eastAsia" w:ascii="方正仿宋_GBK" w:hAnsi="方正仿宋_GBK" w:eastAsia="方正仿宋_GBK" w:cs="方正仿宋_GBK"/>
          <w:color w:val="333333"/>
          <w:kern w:val="0"/>
          <w:sz w:val="32"/>
          <w:szCs w:val="32"/>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lang w:val="en-US" w:eastAsia="zh-CN" w:bidi="ar-SA"/>
        </w:rPr>
        <w:t>规范异常情况上报</w:t>
      </w:r>
    </w:p>
    <w:p>
      <w:pPr>
        <w:ind w:firstLine="640" w:firstLineChars="200"/>
        <w:jc w:val="left"/>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见证员负责开评标现场异常情况的收集、记录、推送。主要包括招标人、评审专家、招标代理机构、特邀社会监督员及中心现场服务人员违规违法行为的推送，以及涉嫌围标串标、虚假应标、干扰开评标现场秩序等重点异常情况移交。</w:t>
      </w:r>
    </w:p>
    <w:p>
      <w:pPr>
        <w:pStyle w:val="31"/>
        <w:ind w:firstLine="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异常情况的移交坚持及时性、完整性，建立“移交（推送）函+清单”工作机制，及时通过“电子服务平台”推送到“电子监管平台”，并同步推送相关佐证材料清单。见证人员应严格遵守保密规定，不得泄露移交内容及相关处理情况。</w:t>
      </w:r>
    </w:p>
    <w:p>
      <w:pPr>
        <w:pStyle w:val="32"/>
        <w:numPr>
          <w:ilvl w:val="2"/>
          <w:numId w:val="0"/>
        </w:numPr>
        <w:ind w:firstLine="643"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sz w:val="32"/>
          <w:szCs w:val="32"/>
          <w:shd w:val="clear" w:color="auto" w:fill="FFFFFF"/>
        </w:rPr>
        <w:t>第十一条</w:t>
      </w:r>
      <w:r>
        <w:rPr>
          <w:rFonts w:hint="eastAsia"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lang w:val="en-US" w:eastAsia="zh-CN" w:bidi="ar-SA"/>
        </w:rPr>
        <w:t>规范见证章使用</w:t>
      </w:r>
    </w:p>
    <w:p>
      <w:pPr>
        <w:pStyle w:val="32"/>
        <w:numPr>
          <w:ilvl w:val="2"/>
          <w:numId w:val="0"/>
        </w:numPr>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见证章分为数字见证章和“见证专用章”，数字章用于在线签署见证意见，包括在线见证中标通知书、在线见证合同公开等。“见证专用章”为科室内部章，用于招标代理机构工作人员工作牌、各类移交表等信息确认。</w:t>
      </w:r>
    </w:p>
    <w:p>
      <w:pPr>
        <w:pStyle w:val="32"/>
        <w:numPr>
          <w:ilvl w:val="2"/>
          <w:numId w:val="0"/>
        </w:numPr>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见证章及相关密匙由专人保管，经在线申请或实名登记方可使用。</w:t>
      </w:r>
    </w:p>
    <w:p>
      <w:pPr>
        <w:pStyle w:val="32"/>
        <w:numPr>
          <w:ilvl w:val="2"/>
          <w:numId w:val="0"/>
        </w:numPr>
        <w:ind w:firstLine="643"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sz w:val="32"/>
          <w:szCs w:val="32"/>
          <w:shd w:val="clear" w:color="auto" w:fill="FFFFFF"/>
        </w:rPr>
        <w:t xml:space="preserve">第十二条  </w:t>
      </w:r>
      <w:r>
        <w:rPr>
          <w:rFonts w:hint="eastAsia" w:ascii="方正仿宋_GBK" w:hAnsi="方正仿宋_GBK" w:eastAsia="方正仿宋_GBK" w:cs="方正仿宋_GBK"/>
          <w:color w:val="333333"/>
          <w:kern w:val="0"/>
          <w:sz w:val="32"/>
          <w:szCs w:val="32"/>
          <w:shd w:val="clear" w:color="auto" w:fill="FFFFFF"/>
          <w:lang w:val="en-US" w:eastAsia="zh-CN" w:bidi="ar-SA"/>
        </w:rPr>
        <w:t>评价结果的申诉</w:t>
      </w:r>
    </w:p>
    <w:p>
      <w:pPr>
        <w:pStyle w:val="32"/>
        <w:numPr>
          <w:ilvl w:val="2"/>
          <w:numId w:val="0"/>
        </w:numPr>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见证人员根据归集的见证信息和开评标现场见证异常情况记录，按照相关法律法规及规章制度拟定对招标代理机构、评标评审专家、市场竞争主体或其他参与人员给予扣分、披露等惩戒的，要及时推送综合管理部门，必要时抄送项目行业监管部门。</w:t>
      </w:r>
    </w:p>
    <w:p>
      <w:pPr>
        <w:pStyle w:val="32"/>
        <w:numPr>
          <w:ilvl w:val="2"/>
          <w:numId w:val="0"/>
        </w:numPr>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被评价/惩戒主体对相关结果有异议的，需线上或线下提交申诉书到综合管理部门。</w:t>
      </w:r>
    </w:p>
    <w:p>
      <w:pPr>
        <w:pStyle w:val="32"/>
        <w:numPr>
          <w:ilvl w:val="2"/>
          <w:numId w:val="0"/>
        </w:numPr>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申诉书要具体、真实的表明申诉依据及免责说明，且符合相关法律法规及规章制度，所述依据存在“下位法”与“上位法”相关条款不同的，按照“上位法”所述条款为准。</w:t>
      </w:r>
    </w:p>
    <w:p>
      <w:pPr>
        <w:pStyle w:val="32"/>
        <w:numPr>
          <w:ilvl w:val="2"/>
          <w:numId w:val="0"/>
        </w:numPr>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申诉材料能够证明非被评价/惩戒主体主观原因造成的，按照优化营商环境相关政策要求，以有利于被评价/惩戒主体的方向减少或免除惩戒。</w:t>
      </w:r>
    </w:p>
    <w:p>
      <w:pPr>
        <w:pStyle w:val="32"/>
        <w:numPr>
          <w:ilvl w:val="2"/>
          <w:numId w:val="0"/>
        </w:numPr>
        <w:ind w:firstLine="643"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sz w:val="32"/>
          <w:szCs w:val="32"/>
          <w:shd w:val="clear" w:color="auto" w:fill="FFFFFF"/>
        </w:rPr>
        <w:t xml:space="preserve">第十三条  </w:t>
      </w:r>
      <w:r>
        <w:rPr>
          <w:rFonts w:hint="eastAsia" w:ascii="方正仿宋_GBK" w:hAnsi="方正仿宋_GBK" w:eastAsia="方正仿宋_GBK" w:cs="方正仿宋_GBK"/>
          <w:color w:val="333333"/>
          <w:kern w:val="0"/>
          <w:sz w:val="32"/>
          <w:szCs w:val="32"/>
          <w:shd w:val="clear" w:color="auto" w:fill="FFFFFF"/>
          <w:lang w:val="en-US" w:eastAsia="zh-CN" w:bidi="ar-SA"/>
        </w:rPr>
        <w:t>规范防伪标签领取</w:t>
      </w:r>
    </w:p>
    <w:p>
      <w:pPr>
        <w:pStyle w:val="32"/>
        <w:numPr>
          <w:ilvl w:val="2"/>
          <w:numId w:val="0"/>
        </w:numPr>
        <w:ind w:firstLine="640"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招标代理机构按照防伪标签领取流程填写申请单，经市政务局审核后签署核定意见；持核定无误的《工作牌防伪标签领取申请单》到中心项目见证科，在中心见证下当场张贴。</w:t>
      </w:r>
    </w:p>
    <w:p>
      <w:pPr>
        <w:pStyle w:val="32"/>
        <w:numPr>
          <w:ilvl w:val="2"/>
          <w:numId w:val="0"/>
        </w:numPr>
        <w:ind w:firstLine="643" w:firstLineChars="200"/>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sz w:val="32"/>
          <w:szCs w:val="32"/>
          <w:shd w:val="clear" w:color="auto" w:fill="FFFFFF"/>
        </w:rPr>
        <w:t xml:space="preserve">第十四条  </w:t>
      </w:r>
      <w:r>
        <w:rPr>
          <w:rFonts w:hint="eastAsia" w:ascii="方正仿宋_GBK" w:hAnsi="方正仿宋_GBK" w:eastAsia="方正仿宋_GBK" w:cs="方正仿宋_GBK"/>
          <w:color w:val="333333"/>
          <w:kern w:val="0"/>
          <w:sz w:val="32"/>
          <w:szCs w:val="32"/>
          <w:shd w:val="clear" w:color="auto" w:fill="FFFFFF"/>
          <w:lang w:val="en-US" w:eastAsia="zh-CN" w:bidi="ar-SA"/>
        </w:rPr>
        <w:t>午间项目见证、隔夜评标见证及重点项目见证见另行规定。</w:t>
      </w:r>
    </w:p>
    <w:p>
      <w:pPr>
        <w:jc w:val="left"/>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rPr>
        <w:t xml:space="preserve">    </w:t>
      </w:r>
      <w:r>
        <w:rPr>
          <w:rFonts w:hint="eastAsia" w:ascii="方正仿宋_GBK" w:hAnsi="方正仿宋_GBK" w:eastAsia="方正仿宋_GBK" w:cs="方正仿宋_GBK"/>
          <w:b/>
          <w:bCs/>
          <w:color w:val="333333"/>
          <w:kern w:val="0"/>
          <w:sz w:val="32"/>
          <w:szCs w:val="32"/>
          <w:shd w:val="clear" w:color="auto" w:fill="FFFFFF"/>
        </w:rPr>
        <w:t xml:space="preserve">第十五条  </w:t>
      </w:r>
      <w:r>
        <w:rPr>
          <w:rFonts w:hint="eastAsia" w:ascii="方正仿宋_GBK" w:hAnsi="方正仿宋_GBK" w:eastAsia="方正仿宋_GBK" w:cs="方正仿宋_GBK"/>
          <w:color w:val="333333"/>
          <w:kern w:val="0"/>
          <w:sz w:val="32"/>
          <w:szCs w:val="32"/>
          <w:shd w:val="clear" w:color="auto" w:fill="FFFFFF"/>
          <w:lang w:val="en-US" w:eastAsia="zh-CN" w:bidi="ar-SA"/>
        </w:rPr>
        <w:t>本细则由宿州市公共资源交易中心负责解释，各县区分中心结合工作实际参照试行，并及时总结试行中积累的经验、反馈遇到的问题。</w:t>
      </w:r>
    </w:p>
    <w:p>
      <w:pPr>
        <w:ind w:firstLine="643" w:firstLineChars="200"/>
        <w:jc w:val="left"/>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b/>
          <w:bCs/>
          <w:color w:val="333333"/>
          <w:kern w:val="0"/>
          <w:sz w:val="32"/>
          <w:szCs w:val="32"/>
          <w:shd w:val="clear" w:color="auto" w:fill="FFFFFF"/>
        </w:rPr>
        <w:t>第十六条</w:t>
      </w:r>
      <w:r>
        <w:rPr>
          <w:rFonts w:hint="eastAsia" w:ascii="方正仿宋_GBK" w:hAnsi="方正仿宋_GBK" w:eastAsia="方正仿宋_GBK" w:cs="方正仿宋_GBK"/>
          <w:color w:val="333333"/>
          <w:kern w:val="0"/>
          <w:sz w:val="32"/>
          <w:szCs w:val="32"/>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lang w:val="en-US" w:eastAsia="zh-CN" w:bidi="ar-SA"/>
        </w:rPr>
        <w:t>本细则自发布之日起试行。</w:t>
      </w:r>
    </w:p>
    <w:p>
      <w:pPr>
        <w:pStyle w:val="32"/>
        <w:numPr>
          <w:ilvl w:val="2"/>
          <w:numId w:val="0"/>
        </w:numPr>
      </w:pPr>
    </w:p>
    <w:bookmarkEnd w:id="1"/>
    <w:bookmarkEnd w:id="2"/>
    <w:bookmarkEnd w:id="3"/>
    <w:p>
      <w:pPr>
        <w:pStyle w:val="6"/>
        <w:rPr>
          <w:rFonts w:hint="eastAsia" w:ascii="方正仿宋_GBK" w:hAnsi="方正仿宋_GBK" w:eastAsia="方正仿宋_GBK" w:cs="方正仿宋_GBK"/>
          <w:color w:val="333333"/>
          <w:kern w:val="0"/>
          <w:shd w:val="clear" w:color="auto" w:fill="FFFFFF"/>
        </w:rPr>
      </w:pPr>
      <w:bookmarkStart w:id="4" w:name="_Toc121741972"/>
      <w:bookmarkStart w:id="5" w:name="_Toc127196596"/>
      <w:bookmarkStart w:id="6" w:name="_Toc121741991"/>
      <w:r>
        <w:rPr>
          <w:rFonts w:hint="eastAsia" w:ascii="方正仿宋_GBK" w:hAnsi="方正仿宋_GBK" w:eastAsia="方正仿宋_GBK" w:cs="方正仿宋_GBK"/>
          <w:color w:val="333333"/>
          <w:kern w:val="0"/>
          <w:shd w:val="clear" w:color="auto" w:fill="FFFFFF"/>
        </w:rPr>
        <w:t xml:space="preserve">附录1  </w:t>
      </w:r>
    </w:p>
    <w:p>
      <w:pPr>
        <w:pStyle w:val="6"/>
        <w:jc w:val="center"/>
        <w:rPr>
          <w:rFonts w:ascii="方正仿宋_GBK" w:hAnsi="方正仿宋_GBK" w:eastAsia="方正仿宋_GBK" w:cs="方正仿宋_GBK"/>
          <w:color w:val="333333"/>
          <w:kern w:val="0"/>
          <w:shd w:val="clear" w:color="auto" w:fill="FFFFFF"/>
        </w:rPr>
      </w:pPr>
      <w:r>
        <w:rPr>
          <w:rFonts w:hint="eastAsia"/>
          <w:shd w:val="clear" w:color="auto" w:fill="FFFFFF"/>
        </w:rPr>
        <w:t>项目见证异常情况移交（推送）工作机制</w:t>
      </w:r>
      <w:bookmarkEnd w:id="4"/>
    </w:p>
    <w:p>
      <w:pPr>
        <w:ind w:firstLine="640" w:firstLineChars="200"/>
        <w:jc w:val="left"/>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为进一步规范招标代理机构、评标评审专家、招标人及市场竞争主体行为，提高项目见证工作质量和效率，根据有关法律、法规、规章和《宿州市公共资源交易监督管理办法》，制定项目见证异常情况移交（推送）工作机制。</w:t>
      </w:r>
    </w:p>
    <w:p>
      <w:pPr>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val="en-US" w:eastAsia="zh-CN"/>
        </w:rPr>
        <w:t>1.</w:t>
      </w:r>
      <w:r>
        <w:rPr>
          <w:rFonts w:hint="eastAsia" w:ascii="方正仿宋_GBK" w:hAnsi="方正仿宋_GBK" w:eastAsia="方正仿宋_GBK" w:cs="方正仿宋_GBK"/>
          <w:color w:val="333333"/>
          <w:kern w:val="0"/>
          <w:sz w:val="32"/>
          <w:szCs w:val="32"/>
          <w:shd w:val="clear" w:color="auto" w:fill="FFFFFF"/>
        </w:rPr>
        <w:t>中心与</w:t>
      </w:r>
      <w:r>
        <w:rPr>
          <w:rFonts w:hint="eastAsia" w:ascii="方正仿宋_GBK" w:hAnsi="方正仿宋_GBK" w:eastAsia="方正仿宋_GBK" w:cs="方正仿宋_GBK"/>
          <w:color w:val="333333"/>
          <w:kern w:val="0"/>
          <w:sz w:val="32"/>
          <w:szCs w:val="32"/>
          <w:shd w:val="clear" w:color="auto" w:fill="FFFFFF"/>
          <w:lang w:eastAsia="zh-CN"/>
        </w:rPr>
        <w:t>公共资源交易</w:t>
      </w:r>
      <w:r>
        <w:rPr>
          <w:rFonts w:hint="eastAsia" w:ascii="方正仿宋_GBK" w:hAnsi="方正仿宋_GBK" w:eastAsia="方正仿宋_GBK" w:cs="方正仿宋_GBK"/>
          <w:color w:val="333333"/>
          <w:kern w:val="0"/>
          <w:sz w:val="32"/>
          <w:szCs w:val="32"/>
          <w:shd w:val="clear" w:color="auto" w:fill="FFFFFF"/>
        </w:rPr>
        <w:t>综合管理部门监管平台建立</w:t>
      </w:r>
      <w:r>
        <w:rPr>
          <w:rFonts w:hint="eastAsia" w:ascii="方正仿宋_GBK" w:hAnsi="方正仿宋_GBK" w:eastAsia="方正仿宋_GBK" w:cs="方正仿宋_GBK"/>
          <w:color w:val="333333"/>
          <w:kern w:val="0"/>
          <w:sz w:val="32"/>
          <w:szCs w:val="32"/>
          <w:shd w:val="clear" w:color="auto" w:fill="FFFFFF"/>
          <w:lang w:eastAsia="zh-CN"/>
        </w:rPr>
        <w:t>项目</w:t>
      </w:r>
      <w:r>
        <w:rPr>
          <w:rFonts w:hint="eastAsia" w:ascii="方正仿宋_GBK" w:hAnsi="方正仿宋_GBK" w:eastAsia="方正仿宋_GBK" w:cs="方正仿宋_GBK"/>
          <w:color w:val="333333"/>
          <w:kern w:val="0"/>
          <w:sz w:val="32"/>
          <w:szCs w:val="32"/>
          <w:shd w:val="clear" w:color="auto" w:fill="FFFFFF"/>
        </w:rPr>
        <w:t>异常情况</w:t>
      </w:r>
      <w:r>
        <w:rPr>
          <w:rFonts w:hint="eastAsia" w:ascii="方正仿宋_GBK" w:hAnsi="方正仿宋_GBK" w:eastAsia="方正仿宋_GBK" w:cs="方正仿宋_GBK"/>
          <w:color w:val="333333"/>
          <w:kern w:val="0"/>
          <w:sz w:val="32"/>
          <w:szCs w:val="32"/>
          <w:shd w:val="clear" w:color="auto" w:fill="FFFFFF"/>
          <w:lang w:eastAsia="zh-CN"/>
        </w:rPr>
        <w:t>推送</w:t>
      </w:r>
      <w:r>
        <w:rPr>
          <w:rFonts w:hint="eastAsia" w:ascii="方正仿宋_GBK" w:hAnsi="方正仿宋_GBK" w:eastAsia="方正仿宋_GBK" w:cs="方正仿宋_GBK"/>
          <w:color w:val="333333"/>
          <w:kern w:val="0"/>
          <w:sz w:val="32"/>
          <w:szCs w:val="32"/>
          <w:shd w:val="clear" w:color="auto" w:fill="FFFFFF"/>
        </w:rPr>
        <w:t>通道，中心各</w:t>
      </w:r>
      <w:r>
        <w:rPr>
          <w:rFonts w:hint="eastAsia" w:ascii="方正仿宋_GBK" w:hAnsi="方正仿宋_GBK" w:eastAsia="方正仿宋_GBK" w:cs="方正仿宋_GBK"/>
          <w:color w:val="333333"/>
          <w:kern w:val="0"/>
          <w:sz w:val="32"/>
          <w:szCs w:val="32"/>
          <w:shd w:val="clear" w:color="auto" w:fill="FFFFFF"/>
          <w:lang w:eastAsia="zh-CN"/>
        </w:rPr>
        <w:t>业务</w:t>
      </w:r>
      <w:r>
        <w:rPr>
          <w:rFonts w:hint="eastAsia" w:ascii="方正仿宋_GBK" w:hAnsi="方正仿宋_GBK" w:eastAsia="方正仿宋_GBK" w:cs="方正仿宋_GBK"/>
          <w:color w:val="333333"/>
          <w:kern w:val="0"/>
          <w:sz w:val="32"/>
          <w:szCs w:val="32"/>
          <w:shd w:val="clear" w:color="auto" w:fill="FFFFFF"/>
        </w:rPr>
        <w:t>科室根据本科室职责、内部工作流程，依据《宿州市公共资源交易招标代理机构及从业人员考评细则（暂行）》、《宿州市公共资源交易市场竞争主体不良行为记录和披露办法》等法律法规及规章制度</w:t>
      </w:r>
      <w:r>
        <w:rPr>
          <w:rFonts w:hint="eastAsia" w:ascii="方正仿宋_GBK" w:hAnsi="方正仿宋_GBK" w:eastAsia="方正仿宋_GBK" w:cs="方正仿宋_GBK"/>
          <w:color w:val="333333"/>
          <w:kern w:val="0"/>
          <w:sz w:val="32"/>
          <w:szCs w:val="32"/>
          <w:shd w:val="clear" w:color="auto" w:fill="FFFFFF"/>
          <w:lang w:eastAsia="zh-CN"/>
        </w:rPr>
        <w:t>及优化营商环境相关政策要求</w:t>
      </w:r>
      <w:r>
        <w:rPr>
          <w:rFonts w:hint="eastAsia" w:ascii="方正仿宋_GBK" w:hAnsi="方正仿宋_GBK" w:eastAsia="方正仿宋_GBK" w:cs="方正仿宋_GBK"/>
          <w:color w:val="333333"/>
          <w:kern w:val="0"/>
          <w:sz w:val="32"/>
          <w:szCs w:val="32"/>
          <w:shd w:val="clear" w:color="auto" w:fill="FFFFFF"/>
        </w:rPr>
        <w:t>，对工作中发现的异常情况连同佐证材料及时移交项目见证科</w:t>
      </w:r>
      <w:r>
        <w:rPr>
          <w:rFonts w:hint="eastAsia" w:ascii="方正仿宋_GBK" w:hAnsi="方正仿宋_GBK" w:eastAsia="方正仿宋_GBK" w:cs="方正仿宋_GBK"/>
          <w:color w:val="333333"/>
          <w:kern w:val="0"/>
          <w:sz w:val="32"/>
          <w:szCs w:val="32"/>
          <w:shd w:val="clear" w:color="auto" w:fill="FFFFFF"/>
          <w:lang w:eastAsia="zh-CN"/>
        </w:rPr>
        <w:t>或自行推送监管平台</w:t>
      </w:r>
      <w:r>
        <w:rPr>
          <w:rFonts w:hint="eastAsia" w:ascii="方正仿宋_GBK" w:hAnsi="方正仿宋_GBK" w:eastAsia="方正仿宋_GBK" w:cs="方正仿宋_GBK"/>
          <w:color w:val="333333"/>
          <w:kern w:val="0"/>
          <w:sz w:val="32"/>
          <w:szCs w:val="32"/>
          <w:shd w:val="clear" w:color="auto" w:fill="FFFFFF"/>
        </w:rPr>
        <w:t>。</w:t>
      </w:r>
    </w:p>
    <w:p>
      <w:pPr>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val="en-US" w:eastAsia="zh-CN"/>
        </w:rPr>
        <w:t>2.开评标</w:t>
      </w:r>
      <w:r>
        <w:rPr>
          <w:rFonts w:hint="eastAsia" w:ascii="方正仿宋_GBK" w:hAnsi="方正仿宋_GBK" w:eastAsia="方正仿宋_GBK" w:cs="方正仿宋_GBK"/>
          <w:color w:val="333333"/>
          <w:kern w:val="0"/>
          <w:sz w:val="32"/>
          <w:szCs w:val="32"/>
          <w:shd w:val="clear" w:color="auto" w:fill="FFFFFF"/>
        </w:rPr>
        <w:t>现场见证人员应重点做好异常行为的记录，做好佐证材料的归集，及时通过“电子服务系统”推送到“电子监管系统”，通过线上渠道移交公共资源交易综合管理部门，必要时同步抄送行业主管部门或项目监管部门。</w:t>
      </w:r>
    </w:p>
    <w:p>
      <w:pPr>
        <w:pStyle w:val="32"/>
        <w:numPr>
          <w:ilvl w:val="2"/>
          <w:numId w:val="0"/>
        </w:numPr>
        <w:ind w:firstLine="640" w:firstLineChars="200"/>
        <w:rPr>
          <w:rFonts w:hint="default" w:ascii="方正仿宋_GBK" w:hAnsi="方正仿宋_GBK" w:eastAsia="方正仿宋_GBK" w:cs="方正仿宋_GBK"/>
          <w:color w:val="333333"/>
          <w:kern w:val="0"/>
          <w:sz w:val="32"/>
          <w:szCs w:val="32"/>
          <w:shd w:val="clear" w:color="auto" w:fill="FFFFFF"/>
          <w:lang w:val="en-US" w:eastAsia="zh-CN" w:bidi="ar-SA"/>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方正仿宋_GBK" w:hAnsi="方正仿宋_GBK" w:eastAsia="方正仿宋_GBK" w:cs="方正仿宋_GBK"/>
          <w:color w:val="333333"/>
          <w:kern w:val="0"/>
          <w:sz w:val="32"/>
          <w:szCs w:val="32"/>
          <w:shd w:val="clear" w:color="auto" w:fill="FFFFFF"/>
          <w:lang w:val="en-US" w:eastAsia="zh-CN" w:bidi="ar-SA"/>
        </w:rPr>
        <w:t>3.数字见证系统与电子服务平台、电子监管平台、保证金收退系统、电子档案系统等建立数据联动，数字见证系统智能推送预警信息到监管平台，并双向推送预警信息到保证金收退系统、电子档案系统等。</w:t>
      </w:r>
    </w:p>
    <w:p>
      <w:pPr>
        <w:pStyle w:val="7"/>
        <w:jc w:val="center"/>
        <w:rPr>
          <w:rFonts w:hint="default"/>
          <w:shd w:val="clear" w:color="auto" w:fill="FFFFFF"/>
        </w:rPr>
      </w:pPr>
      <w:r>
        <w:rPr>
          <w:shd w:val="clear" w:color="auto" w:fill="FFFFFF"/>
        </w:rPr>
        <w:t>图1  项目见证异常情况移交（推送）工作路径</w:t>
      </w:r>
      <w:bookmarkEnd w:id="5"/>
    </w:p>
    <w:bookmarkEnd w:id="6"/>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drawing>
          <wp:inline distT="0" distB="0" distL="114300" distR="114300">
            <wp:extent cx="8208645" cy="3537585"/>
            <wp:effectExtent l="0" t="0" r="1905" b="571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5"/>
                    <a:stretch>
                      <a:fillRect/>
                    </a:stretch>
                  </pic:blipFill>
                  <pic:spPr>
                    <a:xfrm>
                      <a:off x="0" y="0"/>
                      <a:ext cx="8208645" cy="3537585"/>
                    </a:xfrm>
                    <a:prstGeom prst="rect">
                      <a:avLst/>
                    </a:prstGeom>
                  </pic:spPr>
                </pic:pic>
              </a:graphicData>
            </a:graphic>
          </wp:inline>
        </w:drawing>
      </w: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sectPr>
          <w:footerReference r:id="rId5" w:type="default"/>
          <w:pgSz w:w="16838" w:h="11906" w:orient="landscape"/>
          <w:pgMar w:top="1800" w:right="1440" w:bottom="1800" w:left="1440" w:header="851" w:footer="992" w:gutter="0"/>
          <w:pgNumType w:start="9"/>
          <w:cols w:space="425" w:num="1"/>
          <w:docGrid w:type="lines" w:linePitch="312" w:charSpace="0"/>
        </w:sectPr>
      </w:pPr>
    </w:p>
    <w:p>
      <w:pPr>
        <w:pStyle w:val="7"/>
        <w:jc w:val="center"/>
        <w:rPr>
          <w:rFonts w:hint="default"/>
          <w:shd w:val="clear" w:color="auto" w:fill="FFFFFF"/>
        </w:rPr>
      </w:pPr>
      <w:bookmarkStart w:id="7" w:name="_Toc127196597"/>
      <w:r>
        <w:rPr>
          <w:shd w:val="clear" w:color="auto" w:fill="FFFFFF"/>
        </w:rPr>
        <w:t xml:space="preserve">表1 </w:t>
      </w:r>
      <w:r>
        <w:rPr>
          <w:b w:val="0"/>
          <w:bCs w:val="0"/>
          <w:shd w:val="clear" w:color="auto" w:fill="FFFFFF"/>
        </w:rPr>
        <w:t>现场见证异常情况记录表</w:t>
      </w:r>
      <w:bookmarkEnd w:id="7"/>
    </w:p>
    <w:p>
      <w:pPr>
        <w:pStyle w:val="31"/>
        <w:ind w:firstLine="0"/>
        <w:rPr>
          <w:sz w:val="28"/>
          <w:szCs w:val="28"/>
        </w:rPr>
      </w:pPr>
      <w:r>
        <w:rPr>
          <w:rFonts w:hint="eastAsia"/>
          <w:sz w:val="28"/>
          <w:szCs w:val="28"/>
        </w:rPr>
        <w:t>项目类型：  建设工程 口  政府采购 口</w:t>
      </w:r>
    </w:p>
    <w:p>
      <w:pPr>
        <w:pStyle w:val="31"/>
        <w:ind w:firstLine="0"/>
        <w:rPr>
          <w:sz w:val="28"/>
          <w:szCs w:val="28"/>
        </w:rPr>
      </w:pPr>
      <w:r>
        <w:rPr>
          <w:rFonts w:hint="eastAsia"/>
          <w:sz w:val="28"/>
          <w:szCs w:val="28"/>
        </w:rPr>
        <w:t>项目名称：</w:t>
      </w:r>
      <w:r>
        <w:rPr>
          <w:rFonts w:hint="eastAsia"/>
          <w:sz w:val="28"/>
          <w:szCs w:val="28"/>
          <w:u w:val="single"/>
        </w:rPr>
        <w:t xml:space="preserve">                    </w:t>
      </w:r>
      <w:r>
        <w:rPr>
          <w:rFonts w:hint="eastAsia"/>
          <w:sz w:val="28"/>
          <w:szCs w:val="28"/>
        </w:rPr>
        <w:t>项目编号：</w:t>
      </w:r>
      <w:r>
        <w:rPr>
          <w:rFonts w:hint="eastAsia"/>
          <w:sz w:val="28"/>
          <w:szCs w:val="28"/>
          <w:u w:val="single"/>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2025"/>
        <w:gridCol w:w="426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4" w:type="dxa"/>
            <w:gridSpan w:val="2"/>
            <w:vAlign w:val="center"/>
          </w:tcPr>
          <w:p>
            <w:pPr>
              <w:pStyle w:val="31"/>
              <w:jc w:val="center"/>
              <w:rPr>
                <w:sz w:val="24"/>
                <w:szCs w:val="24"/>
              </w:rPr>
            </w:pPr>
            <w:r>
              <w:rPr>
                <w:rFonts w:hint="eastAsia"/>
                <w:b/>
                <w:bCs/>
                <w:sz w:val="32"/>
                <w:szCs w:val="32"/>
              </w:rPr>
              <w:t>主体分布</w:t>
            </w:r>
          </w:p>
        </w:tc>
        <w:tc>
          <w:tcPr>
            <w:tcW w:w="4260" w:type="dxa"/>
          </w:tcPr>
          <w:p>
            <w:pPr>
              <w:pStyle w:val="31"/>
              <w:jc w:val="center"/>
            </w:pPr>
            <w:r>
              <w:rPr>
                <w:rFonts w:hint="eastAsia"/>
                <w:b/>
                <w:bCs/>
              </w:rPr>
              <w:t>异常情况描述</w:t>
            </w:r>
          </w:p>
        </w:tc>
        <w:tc>
          <w:tcPr>
            <w:tcW w:w="938" w:type="dxa"/>
          </w:tcPr>
          <w:p>
            <w:pPr>
              <w:pStyle w:val="31"/>
              <w:ind w:firstLine="0"/>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3324" w:type="dxa"/>
            <w:gridSpan w:val="2"/>
            <w:vAlign w:val="center"/>
          </w:tcPr>
          <w:p>
            <w:pPr>
              <w:pStyle w:val="31"/>
              <w:jc w:val="center"/>
              <w:rPr>
                <w:sz w:val="24"/>
                <w:szCs w:val="24"/>
              </w:rPr>
            </w:pPr>
            <w:r>
              <w:rPr>
                <w:rFonts w:hint="eastAsia"/>
                <w:sz w:val="24"/>
                <w:szCs w:val="24"/>
              </w:rPr>
              <w:t>招标人</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324" w:type="dxa"/>
            <w:gridSpan w:val="2"/>
            <w:vAlign w:val="center"/>
          </w:tcPr>
          <w:p>
            <w:pPr>
              <w:pStyle w:val="31"/>
              <w:jc w:val="center"/>
              <w:rPr>
                <w:sz w:val="24"/>
                <w:szCs w:val="24"/>
              </w:rPr>
            </w:pPr>
            <w:r>
              <w:rPr>
                <w:rFonts w:hint="eastAsia"/>
                <w:sz w:val="24"/>
                <w:szCs w:val="24"/>
              </w:rPr>
              <w:t>代理机构</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3324" w:type="dxa"/>
            <w:gridSpan w:val="2"/>
            <w:vAlign w:val="center"/>
          </w:tcPr>
          <w:p>
            <w:pPr>
              <w:pStyle w:val="31"/>
              <w:jc w:val="center"/>
              <w:rPr>
                <w:sz w:val="24"/>
                <w:szCs w:val="24"/>
              </w:rPr>
            </w:pPr>
            <w:r>
              <w:rPr>
                <w:rFonts w:hint="eastAsia"/>
                <w:sz w:val="24"/>
                <w:szCs w:val="24"/>
              </w:rPr>
              <w:t>竞争主体</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3324" w:type="dxa"/>
            <w:gridSpan w:val="2"/>
            <w:vAlign w:val="center"/>
          </w:tcPr>
          <w:p>
            <w:pPr>
              <w:pStyle w:val="31"/>
              <w:jc w:val="center"/>
              <w:rPr>
                <w:sz w:val="24"/>
                <w:szCs w:val="24"/>
              </w:rPr>
            </w:pPr>
            <w:r>
              <w:rPr>
                <w:rFonts w:hint="eastAsia"/>
                <w:sz w:val="24"/>
                <w:szCs w:val="24"/>
              </w:rPr>
              <w:t>中心工作人员</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3324" w:type="dxa"/>
            <w:gridSpan w:val="2"/>
            <w:vAlign w:val="center"/>
          </w:tcPr>
          <w:p>
            <w:pPr>
              <w:pStyle w:val="31"/>
              <w:ind w:firstLine="1430" w:firstLineChars="596"/>
              <w:rPr>
                <w:sz w:val="24"/>
                <w:szCs w:val="24"/>
              </w:rPr>
            </w:pPr>
            <w:r>
              <w:rPr>
                <w:rFonts w:hint="eastAsia"/>
                <w:sz w:val="24"/>
                <w:szCs w:val="24"/>
              </w:rPr>
              <w:t>其 他</w:t>
            </w:r>
          </w:p>
          <w:p>
            <w:pPr>
              <w:pStyle w:val="31"/>
              <w:ind w:firstLine="0"/>
              <w:jc w:val="center"/>
              <w:rPr>
                <w:sz w:val="24"/>
                <w:szCs w:val="24"/>
              </w:rPr>
            </w:pPr>
            <w:r>
              <w:rPr>
                <w:rFonts w:hint="eastAsia"/>
                <w:sz w:val="24"/>
                <w:szCs w:val="24"/>
              </w:rPr>
              <w:t>（中心其他科室反馈等）</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299" w:type="dxa"/>
            <w:vMerge w:val="restart"/>
            <w:vAlign w:val="center"/>
          </w:tcPr>
          <w:p>
            <w:pPr>
              <w:pStyle w:val="31"/>
              <w:ind w:firstLine="0"/>
              <w:jc w:val="center"/>
              <w:rPr>
                <w:sz w:val="24"/>
                <w:szCs w:val="24"/>
              </w:rPr>
            </w:pPr>
            <w:r>
              <w:rPr>
                <w:rFonts w:hint="eastAsia"/>
                <w:sz w:val="24"/>
                <w:szCs w:val="24"/>
              </w:rPr>
              <w:t>重点</w:t>
            </w:r>
          </w:p>
          <w:p>
            <w:pPr>
              <w:pStyle w:val="31"/>
              <w:ind w:firstLine="0"/>
              <w:jc w:val="center"/>
              <w:rPr>
                <w:sz w:val="24"/>
                <w:szCs w:val="24"/>
              </w:rPr>
            </w:pPr>
            <w:r>
              <w:rPr>
                <w:rFonts w:hint="eastAsia"/>
                <w:sz w:val="24"/>
                <w:szCs w:val="24"/>
              </w:rPr>
              <w:t>监测事项</w:t>
            </w:r>
          </w:p>
        </w:tc>
        <w:tc>
          <w:tcPr>
            <w:tcW w:w="2025" w:type="dxa"/>
            <w:vAlign w:val="center"/>
          </w:tcPr>
          <w:p>
            <w:pPr>
              <w:pStyle w:val="31"/>
              <w:ind w:firstLine="0"/>
              <w:jc w:val="center"/>
              <w:rPr>
                <w:sz w:val="24"/>
                <w:szCs w:val="24"/>
              </w:rPr>
            </w:pPr>
            <w:r>
              <w:rPr>
                <w:rFonts w:hint="eastAsia"/>
                <w:sz w:val="24"/>
                <w:szCs w:val="24"/>
              </w:rPr>
              <w:t>围标串标</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99" w:type="dxa"/>
            <w:vMerge w:val="continue"/>
            <w:vAlign w:val="center"/>
          </w:tcPr>
          <w:p>
            <w:pPr>
              <w:pStyle w:val="31"/>
              <w:jc w:val="center"/>
              <w:rPr>
                <w:sz w:val="24"/>
                <w:szCs w:val="24"/>
              </w:rPr>
            </w:pPr>
          </w:p>
        </w:tc>
        <w:tc>
          <w:tcPr>
            <w:tcW w:w="2025" w:type="dxa"/>
            <w:vAlign w:val="center"/>
          </w:tcPr>
          <w:p>
            <w:pPr>
              <w:pStyle w:val="31"/>
              <w:ind w:firstLine="0"/>
              <w:jc w:val="center"/>
              <w:rPr>
                <w:sz w:val="24"/>
                <w:szCs w:val="24"/>
              </w:rPr>
            </w:pPr>
            <w:r>
              <w:rPr>
                <w:rFonts w:hint="eastAsia"/>
                <w:sz w:val="24"/>
                <w:szCs w:val="24"/>
              </w:rPr>
              <w:t>干扰开评标秩序</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299" w:type="dxa"/>
            <w:vMerge w:val="continue"/>
            <w:vAlign w:val="center"/>
          </w:tcPr>
          <w:p>
            <w:pPr>
              <w:pStyle w:val="31"/>
              <w:jc w:val="center"/>
              <w:rPr>
                <w:sz w:val="24"/>
                <w:szCs w:val="24"/>
              </w:rPr>
            </w:pPr>
          </w:p>
        </w:tc>
        <w:tc>
          <w:tcPr>
            <w:tcW w:w="2025" w:type="dxa"/>
            <w:vAlign w:val="center"/>
          </w:tcPr>
          <w:p>
            <w:pPr>
              <w:pStyle w:val="31"/>
              <w:ind w:firstLine="0"/>
              <w:jc w:val="center"/>
              <w:rPr>
                <w:sz w:val="24"/>
                <w:szCs w:val="24"/>
              </w:rPr>
            </w:pPr>
            <w:r>
              <w:rPr>
                <w:rFonts w:hint="eastAsia"/>
                <w:sz w:val="24"/>
                <w:szCs w:val="24"/>
              </w:rPr>
              <w:t>虚假应标</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299" w:type="dxa"/>
            <w:vMerge w:val="continue"/>
            <w:vAlign w:val="center"/>
          </w:tcPr>
          <w:p>
            <w:pPr>
              <w:pStyle w:val="31"/>
              <w:jc w:val="center"/>
              <w:rPr>
                <w:sz w:val="24"/>
                <w:szCs w:val="24"/>
              </w:rPr>
            </w:pPr>
          </w:p>
        </w:tc>
        <w:tc>
          <w:tcPr>
            <w:tcW w:w="2025" w:type="dxa"/>
            <w:vAlign w:val="center"/>
          </w:tcPr>
          <w:p>
            <w:pPr>
              <w:pStyle w:val="31"/>
              <w:ind w:firstLine="0"/>
              <w:jc w:val="center"/>
              <w:rPr>
                <w:sz w:val="24"/>
                <w:szCs w:val="24"/>
              </w:rPr>
            </w:pPr>
            <w:r>
              <w:rPr>
                <w:rFonts w:hint="eastAsia"/>
                <w:sz w:val="24"/>
                <w:szCs w:val="24"/>
              </w:rPr>
              <w:t>其他</w:t>
            </w:r>
          </w:p>
        </w:tc>
        <w:tc>
          <w:tcPr>
            <w:tcW w:w="4260" w:type="dxa"/>
          </w:tcPr>
          <w:p>
            <w:pPr>
              <w:pStyle w:val="31"/>
            </w:pPr>
          </w:p>
        </w:tc>
        <w:tc>
          <w:tcPr>
            <w:tcW w:w="938" w:type="dxa"/>
          </w:tcPr>
          <w:p>
            <w:pPr>
              <w:pStyle w:val="31"/>
            </w:pPr>
          </w:p>
        </w:tc>
      </w:tr>
    </w:tbl>
    <w:p>
      <w:pPr>
        <w:pStyle w:val="31"/>
        <w:spacing w:line="0" w:lineRule="atLeast"/>
        <w:ind w:firstLine="0"/>
        <w:rPr>
          <w:rFonts w:hint="default" w:ascii="方正仿宋_GBK" w:hAnsi="方正仿宋_GBK" w:eastAsia="方正仿宋_GBK" w:cs="方正仿宋_GBK"/>
          <w:color w:val="333333"/>
          <w:sz w:val="28"/>
          <w:szCs w:val="28"/>
          <w:shd w:val="clear" w:color="auto" w:fill="FFFFFF"/>
          <w:lang w:val="en-US"/>
        </w:rPr>
        <w:sectPr>
          <w:footerReference r:id="rId6" w:type="default"/>
          <w:pgSz w:w="11906" w:h="16838"/>
          <w:pgMar w:top="1440" w:right="1800" w:bottom="1440" w:left="1800" w:header="851" w:footer="992" w:gutter="0"/>
          <w:pgNumType w:fmt="decimal" w:start="10"/>
          <w:cols w:space="425" w:num="1"/>
          <w:docGrid w:type="lines" w:linePitch="312" w:charSpace="0"/>
        </w:sectPr>
      </w:pPr>
      <w:bookmarkStart w:id="8" w:name="_Toc121741975"/>
      <w:bookmarkStart w:id="9" w:name="_Toc127196598"/>
      <w:r>
        <w:rPr>
          <w:rFonts w:hint="eastAsia" w:ascii="方正仿宋_GBK" w:hAnsi="方正仿宋_GBK" w:eastAsia="方正仿宋_GBK" w:cs="方正仿宋_GBK"/>
          <w:color w:val="333333"/>
          <w:kern w:val="0"/>
          <w:sz w:val="22"/>
          <w:szCs w:val="22"/>
          <w:shd w:val="clear" w:color="auto" w:fill="FFFFFF"/>
          <w:lang w:eastAsia="zh-CN"/>
        </w:rPr>
        <w:t>注：</w:t>
      </w:r>
      <w:r>
        <w:rPr>
          <w:rFonts w:hint="eastAsia" w:ascii="方正仿宋_GBK" w:hAnsi="方正仿宋_GBK" w:eastAsia="方正仿宋_GBK" w:cs="方正仿宋_GBK"/>
          <w:color w:val="333333"/>
          <w:kern w:val="0"/>
          <w:sz w:val="22"/>
          <w:szCs w:val="22"/>
          <w:shd w:val="clear" w:color="auto" w:fill="FFFFFF"/>
        </w:rPr>
        <w:t>对存在异常情况的实行“一项目、一张表”，如实登记异常情况及信息，做好佐证材料归集，及时移交专职见证员或上级领导</w:t>
      </w:r>
      <w:r>
        <w:rPr>
          <w:rFonts w:hint="eastAsia" w:ascii="方正仿宋_GBK" w:hAnsi="方正仿宋_GBK" w:eastAsia="方正仿宋_GBK" w:cs="方正仿宋_GBK"/>
          <w:color w:val="333333"/>
          <w:kern w:val="0"/>
          <w:sz w:val="22"/>
          <w:szCs w:val="22"/>
          <w:shd w:val="clear" w:color="auto" w:fill="FFFFFF"/>
          <w:lang w:eastAsia="zh-CN"/>
        </w:rPr>
        <w:t>；接到项目可能涉及围标串标、虚假应标等重点监测事项反馈的，要及时向在</w:t>
      </w:r>
      <w:r>
        <w:rPr>
          <w:rFonts w:hint="eastAsia" w:ascii="方正仿宋_GBK" w:hAnsi="方正仿宋_GBK" w:eastAsia="方正仿宋_GBK" w:cs="方正仿宋_GBK"/>
          <w:color w:val="333333"/>
          <w:kern w:val="0"/>
          <w:sz w:val="22"/>
          <w:szCs w:val="22"/>
          <w:shd w:val="clear" w:color="auto" w:fill="FFFFFF"/>
          <w:lang w:val="en-US" w:eastAsia="zh-CN"/>
        </w:rPr>
        <w:t>/值班负责人报告，归集反馈材料，打包移交综合管理部门。</w:t>
      </w:r>
    </w:p>
    <w:p>
      <w:pPr>
        <w:pStyle w:val="7"/>
        <w:jc w:val="center"/>
        <w:rPr>
          <w:rFonts w:hint="default"/>
          <w:shd w:val="clear" w:color="auto" w:fill="FFFFFF"/>
        </w:rPr>
      </w:pPr>
      <w:r>
        <w:rPr>
          <w:shd w:val="clear" w:color="auto" w:fill="FFFFFF"/>
        </w:rPr>
        <w:t>表2 材料签收</w:t>
      </w:r>
      <w:bookmarkEnd w:id="8"/>
      <w:r>
        <w:rPr>
          <w:shd w:val="clear" w:color="auto" w:fill="FFFFFF"/>
        </w:rPr>
        <w:t>记录表</w:t>
      </w:r>
      <w:bookmarkEnd w:id="9"/>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4"/>
        <w:gridCol w:w="5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4"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材料来源</w:t>
            </w:r>
          </w:p>
        </w:tc>
        <w:tc>
          <w:tcPr>
            <w:tcW w:w="546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4"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项目信息</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（名称、编号，开评标室等）</w:t>
            </w:r>
          </w:p>
        </w:tc>
        <w:tc>
          <w:tcPr>
            <w:tcW w:w="546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4"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材料清单及形式</w:t>
            </w:r>
          </w:p>
          <w:p>
            <w:pPr>
              <w:pStyle w:val="32"/>
              <w:widowControl/>
              <w:numPr>
                <w:ilvl w:val="2"/>
                <w:numId w:val="0"/>
              </w:numPr>
              <w:rPr>
                <w:rFonts w:ascii="方正仿宋_GBK" w:hAnsi="方正仿宋_GBK" w:eastAsia="方正仿宋_GBK" w:cs="方正仿宋_GBK"/>
                <w:color w:val="333333"/>
                <w:sz w:val="24"/>
                <w:szCs w:val="24"/>
                <w:shd w:val="clear" w:color="auto" w:fill="FFFFFF"/>
              </w:rPr>
            </w:pPr>
          </w:p>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546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54"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处理情况</w:t>
            </w:r>
          </w:p>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546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4"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备注</w:t>
            </w:r>
          </w:p>
        </w:tc>
        <w:tc>
          <w:tcPr>
            <w:tcW w:w="546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bl>
    <w:p>
      <w:pPr>
        <w:pStyle w:val="32"/>
        <w:numPr>
          <w:ilvl w:val="2"/>
          <w:numId w:val="0"/>
        </w:numP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 xml:space="preserve">签收人：                                   签收时间：             </w:t>
      </w:r>
    </w:p>
    <w:p>
      <w:pPr>
        <w:pStyle w:val="32"/>
        <w:keepNext w:val="0"/>
        <w:keepLines w:val="0"/>
        <w:pageBreakBefore w:val="0"/>
        <w:widowControl/>
        <w:numPr>
          <w:ilvl w:val="2"/>
          <w:numId w:val="0"/>
        </w:numPr>
        <w:kinsoku/>
        <w:wordWrap/>
        <w:overflowPunct/>
        <w:topLinePunct w:val="0"/>
        <w:autoSpaceDE/>
        <w:autoSpaceDN/>
        <w:bidi w:val="0"/>
        <w:adjustRightInd/>
        <w:snapToGrid/>
        <w:spacing w:line="0" w:lineRule="atLeast"/>
        <w:textAlignment w:val="auto"/>
        <w:rPr>
          <w:rFonts w:hint="eastAsia" w:ascii="方正仿宋_GBK" w:hAnsi="方正仿宋_GBK" w:eastAsia="方正仿宋_GBK" w:cs="方正仿宋_GBK"/>
          <w:color w:val="333333"/>
          <w:kern w:val="0"/>
          <w:sz w:val="22"/>
          <w:szCs w:val="22"/>
          <w:shd w:val="clear" w:color="auto" w:fill="FFFFFF"/>
          <w:lang w:val="en-US" w:eastAsia="zh-CN" w:bidi="ar-SA"/>
        </w:rPr>
      </w:pPr>
      <w:r>
        <w:rPr>
          <w:rFonts w:hint="eastAsia" w:ascii="方正仿宋_GBK" w:hAnsi="方正仿宋_GBK" w:eastAsia="方正仿宋_GBK" w:cs="方正仿宋_GBK"/>
          <w:color w:val="333333"/>
          <w:kern w:val="0"/>
          <w:sz w:val="22"/>
          <w:szCs w:val="22"/>
          <w:shd w:val="clear" w:color="auto" w:fill="FFFFFF"/>
          <w:lang w:val="en-US" w:eastAsia="zh-CN" w:bidi="ar-SA"/>
        </w:rPr>
        <w:t>注：用于项目见证过程中由场外监督人员、招标代理机构、评标评审专家、市场竞争主体等移交项目见证科的涉及项目违规违法行为的各类材料的签收。见证人员签收的各类反馈材料，务必及时通过线上渠道推送监管平台。</w:t>
      </w:r>
    </w:p>
    <w:p>
      <w:pPr>
        <w:pStyle w:val="32"/>
        <w:numPr>
          <w:ilvl w:val="2"/>
          <w:numId w:val="0"/>
        </w:numPr>
        <w:rPr>
          <w:rFonts w:ascii="方正仿宋_GBK" w:hAnsi="方正仿宋_GBK" w:eastAsia="方正仿宋_GBK" w:cs="方正仿宋_GBK"/>
          <w:color w:val="333333"/>
          <w:sz w:val="24"/>
          <w:szCs w:val="24"/>
          <w:shd w:val="clear" w:color="auto" w:fill="FFFFFF"/>
        </w:rPr>
      </w:pPr>
    </w:p>
    <w:p>
      <w:pPr>
        <w:pStyle w:val="32"/>
        <w:numPr>
          <w:ilvl w:val="2"/>
          <w:numId w:val="0"/>
        </w:numPr>
        <w:rPr>
          <w:rFonts w:ascii="方正仿宋_GBK" w:hAnsi="方正仿宋_GBK" w:eastAsia="方正仿宋_GBK" w:cs="方正仿宋_GBK"/>
          <w:color w:val="333333"/>
          <w:sz w:val="24"/>
          <w:szCs w:val="24"/>
          <w:shd w:val="clear" w:color="auto" w:fill="FFFFFF"/>
        </w:rPr>
      </w:pPr>
    </w:p>
    <w:p>
      <w:pPr>
        <w:pStyle w:val="6"/>
        <w:rPr>
          <w:shd w:val="clear" w:color="auto" w:fill="FFFFFF"/>
        </w:rPr>
      </w:pPr>
      <w:bookmarkStart w:id="10" w:name="_Toc127196479"/>
      <w:bookmarkStart w:id="11" w:name="_Toc127196599"/>
      <w:r>
        <w:rPr>
          <w:shd w:val="clear" w:color="auto" w:fill="FFFFFF"/>
        </w:rPr>
        <w:t>附录2</w:t>
      </w:r>
      <w:bookmarkEnd w:id="10"/>
      <w:bookmarkEnd w:id="11"/>
    </w:p>
    <w:p>
      <w:pPr>
        <w:pStyle w:val="6"/>
        <w:jc w:val="center"/>
        <w:rPr>
          <w:shd w:val="clear" w:color="auto" w:fill="FFFFFF"/>
        </w:rPr>
      </w:pPr>
      <w:bookmarkStart w:id="12" w:name="_Toc127196600"/>
      <w:r>
        <w:rPr>
          <w:shd w:val="clear" w:color="auto" w:fill="FFFFFF"/>
        </w:rPr>
        <w:t>场外监督人员保密承诺书</w:t>
      </w:r>
      <w:bookmarkEnd w:id="12"/>
    </w:p>
    <w:p>
      <w:pPr>
        <w:pStyle w:val="35"/>
        <w:ind w:firstLine="560"/>
        <w:rPr>
          <w:rFonts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u w:val="single"/>
          <w:shd w:val="clear" w:color="auto" w:fill="FFFFFF"/>
        </w:rPr>
        <w:t xml:space="preserve">     （姓名） </w:t>
      </w:r>
      <w:r>
        <w:rPr>
          <w:rFonts w:hint="eastAsia" w:ascii="方正仿宋_GBK" w:hAnsi="方正仿宋_GBK" w:eastAsia="方正仿宋_GBK" w:cs="方正仿宋_GBK"/>
          <w:color w:val="333333"/>
          <w:sz w:val="28"/>
          <w:szCs w:val="28"/>
          <w:shd w:val="clear" w:color="auto" w:fill="FFFFFF"/>
        </w:rPr>
        <w:t>，</w:t>
      </w:r>
      <w:r>
        <w:rPr>
          <w:rFonts w:hint="eastAsia" w:ascii="方正仿宋_GBK" w:hAnsi="方正仿宋_GBK" w:eastAsia="方正仿宋_GBK" w:cs="方正仿宋_GBK"/>
          <w:color w:val="333333"/>
          <w:sz w:val="28"/>
          <w:szCs w:val="28"/>
          <w:u w:val="single"/>
          <w:shd w:val="clear" w:color="auto" w:fill="FFFFFF"/>
        </w:rPr>
        <w:t xml:space="preserve">                                  </w:t>
      </w:r>
      <w:r>
        <w:rPr>
          <w:rFonts w:hint="eastAsia" w:ascii="方正仿宋_GBK" w:hAnsi="方正仿宋_GBK" w:eastAsia="方正仿宋_GBK" w:cs="方正仿宋_GBK"/>
          <w:color w:val="333333"/>
          <w:sz w:val="28"/>
          <w:szCs w:val="28"/>
          <w:shd w:val="clear" w:color="auto" w:fill="FFFFFF"/>
        </w:rPr>
        <w:t>项目监督人员，郑重承诺严格遵守宿州市公共资源交易中心相关保密规定，不对监控情况进行书面记录，不试图了解其他项目的评审信息，不泄露评标过程及监督工作中依法应当保密的信息。</w:t>
      </w:r>
    </w:p>
    <w:p>
      <w:pPr>
        <w:pStyle w:val="35"/>
        <w:ind w:firstLine="560"/>
        <w:rPr>
          <w:rFonts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如有违反，愿承担一切责任。</w:t>
      </w:r>
    </w:p>
    <w:p>
      <w:pPr>
        <w:pStyle w:val="35"/>
        <w:ind w:firstLine="560"/>
        <w:rPr>
          <w:rFonts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特此承诺！</w:t>
      </w:r>
    </w:p>
    <w:p>
      <w:pPr>
        <w:widowControl/>
        <w:spacing w:before="91" w:line="221" w:lineRule="exact"/>
        <w:ind w:firstLine="4200" w:firstLineChars="1500"/>
        <w:jc w:val="left"/>
        <w:rPr>
          <w:rFonts w:ascii="方正仿宋_GBK" w:hAnsi="方正仿宋_GBK" w:eastAsia="方正仿宋_GBK" w:cs="方正仿宋_GBK"/>
          <w:color w:val="333333"/>
          <w:kern w:val="0"/>
          <w:sz w:val="28"/>
          <w:szCs w:val="28"/>
          <w:shd w:val="clear" w:color="auto" w:fill="FFFFFF"/>
        </w:rPr>
      </w:pPr>
    </w:p>
    <w:p>
      <w:pPr>
        <w:widowControl/>
        <w:spacing w:before="91" w:line="221" w:lineRule="exact"/>
        <w:ind w:firstLine="4200" w:firstLineChars="1500"/>
        <w:jc w:val="left"/>
        <w:rPr>
          <w:rFonts w:ascii="方正仿宋_GBK" w:hAnsi="方正仿宋_GBK" w:eastAsia="方正仿宋_GBK" w:cs="方正仿宋_GBK"/>
          <w:color w:val="333333"/>
          <w:kern w:val="0"/>
          <w:sz w:val="28"/>
          <w:szCs w:val="28"/>
          <w:shd w:val="clear" w:color="auto" w:fill="FFFFFF"/>
        </w:rPr>
      </w:pPr>
    </w:p>
    <w:p>
      <w:pPr>
        <w:widowControl/>
        <w:spacing w:before="91" w:line="221" w:lineRule="exact"/>
        <w:ind w:firstLine="4200" w:firstLineChars="150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承诺人：</w:t>
      </w:r>
    </w:p>
    <w:p>
      <w:pPr>
        <w:widowControl/>
        <w:spacing w:before="91" w:line="221" w:lineRule="exact"/>
        <w:ind w:left="7140"/>
        <w:jc w:val="left"/>
        <w:rPr>
          <w:rFonts w:ascii="方正仿宋_GBK" w:hAnsi="方正仿宋_GBK" w:eastAsia="方正仿宋_GBK" w:cs="方正仿宋_GBK"/>
          <w:color w:val="333333"/>
          <w:kern w:val="0"/>
          <w:sz w:val="28"/>
          <w:szCs w:val="28"/>
          <w:shd w:val="clear" w:color="auto" w:fill="FFFFFF"/>
        </w:rPr>
      </w:pPr>
    </w:p>
    <w:p>
      <w:pPr>
        <w:widowControl/>
        <w:spacing w:before="91" w:line="221" w:lineRule="exact"/>
        <w:ind w:firstLine="3920" w:firstLineChars="1400"/>
        <w:jc w:val="left"/>
        <w:rPr>
          <w:rFonts w:ascii="方正仿宋_GBK" w:hAnsi="方正仿宋_GBK" w:eastAsia="方正仿宋_GBK" w:cs="方正仿宋_GBK"/>
          <w:color w:val="333333"/>
          <w:sz w:val="32"/>
          <w:szCs w:val="32"/>
          <w:shd w:val="clear" w:color="auto" w:fill="FFFFFF"/>
        </w:rPr>
        <w:sectPr>
          <w:footerReference r:id="rId7" w:type="default"/>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color w:val="333333"/>
          <w:kern w:val="0"/>
          <w:sz w:val="28"/>
          <w:szCs w:val="28"/>
          <w:shd w:val="clear" w:color="auto" w:fill="FFFFFF"/>
        </w:rPr>
        <w:t>承诺日期：</w:t>
      </w:r>
    </w:p>
    <w:p>
      <w:pPr>
        <w:pStyle w:val="7"/>
        <w:jc w:val="center"/>
        <w:rPr>
          <w:rFonts w:hint="default"/>
          <w:shd w:val="clear" w:color="auto" w:fill="FFFFFF"/>
        </w:rPr>
      </w:pPr>
      <w:bookmarkStart w:id="13" w:name="_Toc127196601"/>
      <w:r>
        <w:rPr>
          <w:shd w:val="clear" w:color="auto" w:fill="FFFFFF"/>
        </w:rPr>
        <w:t>表3 轨迹牌领取一览表</w:t>
      </w:r>
      <w:bookmarkEnd w:id="1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4849"/>
        <w:gridCol w:w="765"/>
        <w:gridCol w:w="1590"/>
        <w:gridCol w:w="1590"/>
        <w:gridCol w:w="525"/>
        <w:gridCol w:w="555"/>
        <w:gridCol w:w="900"/>
        <w:gridCol w:w="1005"/>
        <w:gridCol w:w="900"/>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86"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序号</w:t>
            </w:r>
          </w:p>
        </w:tc>
        <w:tc>
          <w:tcPr>
            <w:tcW w:w="4849"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项目名称</w:t>
            </w:r>
          </w:p>
        </w:tc>
        <w:tc>
          <w:tcPr>
            <w:tcW w:w="765"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开标</w:t>
            </w:r>
          </w:p>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时间</w:t>
            </w:r>
          </w:p>
        </w:tc>
        <w:tc>
          <w:tcPr>
            <w:tcW w:w="3180" w:type="dxa"/>
            <w:gridSpan w:val="2"/>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代理信息</w:t>
            </w:r>
          </w:p>
        </w:tc>
        <w:tc>
          <w:tcPr>
            <w:tcW w:w="525"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牌号</w:t>
            </w:r>
          </w:p>
        </w:tc>
        <w:tc>
          <w:tcPr>
            <w:tcW w:w="555"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数量</w:t>
            </w:r>
          </w:p>
        </w:tc>
        <w:tc>
          <w:tcPr>
            <w:tcW w:w="900"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领取时间</w:t>
            </w:r>
          </w:p>
        </w:tc>
        <w:tc>
          <w:tcPr>
            <w:tcW w:w="1005"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领取人签字</w:t>
            </w:r>
          </w:p>
        </w:tc>
        <w:tc>
          <w:tcPr>
            <w:tcW w:w="900"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归还时间</w:t>
            </w:r>
          </w:p>
        </w:tc>
        <w:tc>
          <w:tcPr>
            <w:tcW w:w="803"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破损情况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86"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代理公司</w:t>
            </w:r>
          </w:p>
        </w:tc>
        <w:tc>
          <w:tcPr>
            <w:tcW w:w="1590" w:type="dxa"/>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联系电话</w:t>
            </w:r>
          </w:p>
        </w:tc>
        <w:tc>
          <w:tcPr>
            <w:tcW w:w="525"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bl>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sectPr>
          <w:footerReference r:id="rId8" w:type="default"/>
          <w:pgSz w:w="16838" w:h="11906" w:orient="landscape"/>
          <w:pgMar w:top="1800" w:right="1440" w:bottom="1800" w:left="1440" w:header="851" w:footer="992" w:gutter="0"/>
          <w:cols w:space="425" w:num="1"/>
          <w:docGrid w:type="lines" w:linePitch="312" w:charSpace="0"/>
        </w:sectPr>
      </w:pPr>
    </w:p>
    <w:p>
      <w:pPr>
        <w:pStyle w:val="7"/>
        <w:jc w:val="center"/>
        <w:rPr>
          <w:rFonts w:hint="default"/>
        </w:rPr>
      </w:pPr>
      <w:bookmarkStart w:id="14" w:name="_Toc127196602"/>
      <w:r>
        <w:t>表4  评委座位号及工作牌登记表</w:t>
      </w:r>
      <w:bookmarkEnd w:id="14"/>
    </w:p>
    <w:p>
      <w:pPr>
        <w:jc w:val="center"/>
        <w:rPr>
          <w:rFonts w:asciiTheme="majorEastAsia" w:hAnsiTheme="majorEastAsia" w:eastAsiaTheme="majorEastAsia" w:cstheme="majorEastAsia"/>
          <w:sz w:val="44"/>
          <w:szCs w:val="44"/>
        </w:rPr>
      </w:pPr>
    </w:p>
    <w:p>
      <w:pPr>
        <w:jc w:val="left"/>
        <w:rPr>
          <w:rFonts w:asciiTheme="minorEastAsia" w:hAnsiTheme="minorEastAsia" w:cstheme="minorEastAsia"/>
          <w:sz w:val="32"/>
          <w:szCs w:val="32"/>
        </w:rPr>
      </w:pPr>
      <w:r>
        <w:rPr>
          <w:rFonts w:hint="eastAsia" w:ascii="Arial" w:hAnsi="Arial" w:eastAsia="仿宋_GB2312"/>
          <w:sz w:val="32"/>
          <w:szCs w:val="32"/>
        </w:rPr>
        <w:t>项目名称：</w:t>
      </w:r>
      <w:r>
        <w:rPr>
          <w:rFonts w:hint="eastAsia" w:asciiTheme="minorEastAsia" w:hAnsiTheme="minorEastAsia" w:cstheme="minorEastAsia"/>
          <w:sz w:val="32"/>
          <w:szCs w:val="32"/>
          <w:u w:val="single"/>
        </w:rPr>
        <w:t xml:space="preserve">                                         </w:t>
      </w:r>
    </w:p>
    <w:p>
      <w:pPr>
        <w:jc w:val="left"/>
        <w:rPr>
          <w:rFonts w:asciiTheme="minorEastAsia" w:hAnsiTheme="minorEastAsia" w:cstheme="minorEastAsia"/>
          <w:sz w:val="32"/>
          <w:szCs w:val="32"/>
        </w:rPr>
      </w:pPr>
      <w:r>
        <w:rPr>
          <w:rFonts w:hint="eastAsia" w:ascii="Arial" w:hAnsi="Arial" w:eastAsia="仿宋_GB2312"/>
          <w:sz w:val="32"/>
          <w:szCs w:val="32"/>
        </w:rPr>
        <w:t>项目编号</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 xml:space="preserve">                                         </w:t>
      </w:r>
      <w:r>
        <w:rPr>
          <w:rFonts w:hint="eastAsia" w:asciiTheme="minorEastAsia" w:hAnsiTheme="minorEastAsia" w:cstheme="minorEastAsia"/>
          <w:sz w:val="32"/>
          <w:szCs w:val="32"/>
        </w:rPr>
        <w:t xml:space="preserve"> </w:t>
      </w:r>
    </w:p>
    <w:p>
      <w:pPr>
        <w:jc w:val="left"/>
        <w:rPr>
          <w:rFonts w:asciiTheme="minorEastAsia" w:hAnsiTheme="minorEastAsia" w:cstheme="minorEastAsia"/>
          <w:sz w:val="32"/>
          <w:szCs w:val="32"/>
        </w:rPr>
      </w:pPr>
      <w:r>
        <w:rPr>
          <w:rFonts w:hint="eastAsia" w:ascii="Arial" w:hAnsi="Arial" w:eastAsia="仿宋_GB2312"/>
          <w:sz w:val="32"/>
          <w:szCs w:val="32"/>
        </w:rPr>
        <w:t>招 标 人</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 xml:space="preserve">                                         </w:t>
      </w:r>
    </w:p>
    <w:p>
      <w:pPr>
        <w:jc w:val="left"/>
        <w:rPr>
          <w:rFonts w:asciiTheme="minorEastAsia" w:hAnsiTheme="minorEastAsia" w:cstheme="minorEastAsia"/>
          <w:sz w:val="32"/>
          <w:szCs w:val="32"/>
        </w:rPr>
      </w:pPr>
      <w:r>
        <w:rPr>
          <w:rFonts w:hint="eastAsia" w:ascii="Arial" w:hAnsi="Arial" w:eastAsia="仿宋_GB2312"/>
          <w:sz w:val="32"/>
          <w:szCs w:val="32"/>
        </w:rPr>
        <w:t>代理机构</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 xml:space="preserve">                                         </w:t>
      </w:r>
    </w:p>
    <w:p>
      <w:pPr>
        <w:jc w:val="left"/>
        <w:rPr>
          <w:rFonts w:asciiTheme="minorEastAsia" w:hAnsiTheme="minorEastAsia" w:cstheme="minorEastAsia"/>
          <w:sz w:val="32"/>
          <w:szCs w:val="32"/>
        </w:rPr>
      </w:pPr>
      <w:r>
        <w:rPr>
          <w:rFonts w:hint="eastAsia" w:ascii="Arial" w:hAnsi="Arial" w:eastAsia="仿宋_GB2312"/>
          <w:sz w:val="32"/>
          <w:szCs w:val="32"/>
        </w:rPr>
        <w:t>开标时间</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 xml:space="preserve">                                         </w:t>
      </w:r>
    </w:p>
    <w:p>
      <w:pPr>
        <w:jc w:val="left"/>
        <w:rPr>
          <w:rFonts w:asciiTheme="minorEastAsia" w:hAnsiTheme="minorEastAsia" w:cstheme="minorEastAsia"/>
          <w:sz w:val="32"/>
          <w:szCs w:val="32"/>
        </w:rPr>
      </w:pPr>
      <w:r>
        <w:rPr>
          <w:rFonts w:hint="eastAsia" w:ascii="Arial" w:hAnsi="Arial" w:eastAsia="仿宋_GB2312"/>
          <w:sz w:val="32"/>
          <w:szCs w:val="32"/>
        </w:rPr>
        <w:t>开标地点</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1875"/>
        <w:gridCol w:w="1680"/>
        <w:gridCol w:w="1770"/>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序号</w:t>
            </w:r>
          </w:p>
        </w:tc>
        <w:tc>
          <w:tcPr>
            <w:tcW w:w="1875" w:type="dxa"/>
          </w:tcPr>
          <w:p>
            <w:pPr>
              <w:jc w:val="center"/>
              <w:rPr>
                <w:rFonts w:ascii="Arial" w:hAnsi="Arial" w:eastAsia="仿宋_GB2312"/>
                <w:sz w:val="32"/>
                <w:szCs w:val="32"/>
              </w:rPr>
            </w:pPr>
            <w:r>
              <w:rPr>
                <w:rFonts w:hint="eastAsia" w:ascii="Arial" w:hAnsi="Arial" w:eastAsia="仿宋_GB2312"/>
                <w:sz w:val="32"/>
                <w:szCs w:val="32"/>
              </w:rPr>
              <w:t>姓 名</w:t>
            </w:r>
          </w:p>
        </w:tc>
        <w:tc>
          <w:tcPr>
            <w:tcW w:w="1680" w:type="dxa"/>
          </w:tcPr>
          <w:p>
            <w:pPr>
              <w:jc w:val="center"/>
              <w:rPr>
                <w:rFonts w:ascii="Arial" w:hAnsi="Arial" w:eastAsia="仿宋_GB2312"/>
                <w:sz w:val="32"/>
                <w:szCs w:val="32"/>
              </w:rPr>
            </w:pPr>
            <w:r>
              <w:rPr>
                <w:rFonts w:hint="eastAsia" w:ascii="Arial" w:hAnsi="Arial" w:eastAsia="仿宋_GB2312"/>
                <w:sz w:val="32"/>
                <w:szCs w:val="32"/>
              </w:rPr>
              <w:t>座位号</w:t>
            </w:r>
          </w:p>
        </w:tc>
        <w:tc>
          <w:tcPr>
            <w:tcW w:w="1770" w:type="dxa"/>
          </w:tcPr>
          <w:p>
            <w:pPr>
              <w:jc w:val="center"/>
              <w:rPr>
                <w:rFonts w:ascii="Arial" w:hAnsi="Arial" w:eastAsia="仿宋_GB2312"/>
                <w:sz w:val="32"/>
                <w:szCs w:val="32"/>
              </w:rPr>
            </w:pPr>
            <w:r>
              <w:rPr>
                <w:rFonts w:hint="eastAsia" w:ascii="Arial" w:hAnsi="Arial" w:eastAsia="仿宋_GB2312"/>
                <w:sz w:val="32"/>
                <w:szCs w:val="32"/>
              </w:rPr>
              <w:t>工位号</w:t>
            </w:r>
          </w:p>
        </w:tc>
        <w:tc>
          <w:tcPr>
            <w:tcW w:w="2273" w:type="dxa"/>
          </w:tcPr>
          <w:p>
            <w:pPr>
              <w:jc w:val="center"/>
              <w:rPr>
                <w:rFonts w:ascii="Arial" w:hAnsi="Arial" w:eastAsia="仿宋_GB2312"/>
                <w:sz w:val="32"/>
                <w:szCs w:val="32"/>
              </w:rPr>
            </w:pPr>
            <w:r>
              <w:rPr>
                <w:rFonts w:hint="eastAsia" w:ascii="Arial" w:hAnsi="Arial"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1</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2</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3</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4</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5</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6</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7</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jc w:val="left"/>
              <w:rPr>
                <w:rFonts w:ascii="Arial" w:hAnsi="Arial" w:eastAsia="仿宋_GB2312"/>
                <w:sz w:val="32"/>
                <w:szCs w:val="32"/>
              </w:rPr>
            </w:pPr>
            <w:r>
              <w:rPr>
                <w:rFonts w:hint="eastAsia" w:ascii="Arial" w:hAnsi="Arial" w:eastAsia="仿宋_GB2312"/>
                <w:sz w:val="32"/>
                <w:szCs w:val="32"/>
              </w:rPr>
              <w:t xml:space="preserve">领取人姓名：                电话号码：               </w:t>
            </w:r>
          </w:p>
          <w:p>
            <w:pPr>
              <w:jc w:val="left"/>
              <w:rPr>
                <w:rFonts w:ascii="Arial" w:hAnsi="Arial" w:eastAsia="仿宋_GB2312"/>
                <w:sz w:val="32"/>
                <w:szCs w:val="32"/>
              </w:rPr>
            </w:pPr>
            <w:r>
              <w:rPr>
                <w:rFonts w:hint="eastAsia" w:ascii="Arial" w:hAnsi="Arial" w:eastAsia="仿宋_GB2312"/>
                <w:sz w:val="32"/>
                <w:szCs w:val="32"/>
              </w:rPr>
              <w:t xml:space="preserve">轨迹牌牌号及数量：          有无缺损：                 </w:t>
            </w:r>
          </w:p>
        </w:tc>
      </w:tr>
    </w:tbl>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sectPr>
          <w:pgSz w:w="11906" w:h="16838"/>
          <w:pgMar w:top="1440" w:right="1800" w:bottom="1440" w:left="1800" w:header="851" w:footer="992" w:gutter="0"/>
          <w:cols w:space="425" w:num="1"/>
          <w:docGrid w:type="lines" w:linePitch="312" w:charSpace="0"/>
        </w:sectPr>
      </w:pPr>
    </w:p>
    <w:p>
      <w:pPr>
        <w:pStyle w:val="7"/>
        <w:jc w:val="center"/>
      </w:pPr>
      <w:bookmarkStart w:id="15" w:name="_Toc127196603"/>
      <w:bookmarkStart w:id="16" w:name="_Toc121741993"/>
      <w:r>
        <w:t>表5  见证专用章使用登记薄</w:t>
      </w:r>
      <w:bookmarkEnd w:id="15"/>
      <w:bookmarkEnd w:id="16"/>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4785"/>
        <w:gridCol w:w="2265"/>
        <w:gridCol w:w="2250"/>
        <w:gridCol w:w="1500"/>
        <w:gridCol w:w="78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245" w:type="dxa"/>
            <w:vMerge w:val="restart"/>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日期</w:t>
            </w:r>
          </w:p>
        </w:tc>
        <w:tc>
          <w:tcPr>
            <w:tcW w:w="4785" w:type="dxa"/>
            <w:vMerge w:val="restart"/>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事由</w:t>
            </w:r>
          </w:p>
        </w:tc>
        <w:tc>
          <w:tcPr>
            <w:tcW w:w="4515" w:type="dxa"/>
            <w:gridSpan w:val="2"/>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使用人</w:t>
            </w:r>
          </w:p>
        </w:tc>
        <w:tc>
          <w:tcPr>
            <w:tcW w:w="1500" w:type="dxa"/>
            <w:vMerge w:val="restart"/>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联系电话</w:t>
            </w:r>
          </w:p>
        </w:tc>
        <w:tc>
          <w:tcPr>
            <w:tcW w:w="780" w:type="dxa"/>
            <w:vMerge w:val="restart"/>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份数</w:t>
            </w:r>
          </w:p>
        </w:tc>
        <w:tc>
          <w:tcPr>
            <w:tcW w:w="1275" w:type="dxa"/>
            <w:vMerge w:val="restart"/>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245" w:type="dxa"/>
            <w:vMerge w:val="continue"/>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vMerge w:val="continue"/>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代理机构名称</w:t>
            </w:r>
          </w:p>
        </w:tc>
        <w:tc>
          <w:tcPr>
            <w:tcW w:w="2250" w:type="dxa"/>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具体使用人姓名</w:t>
            </w:r>
          </w:p>
        </w:tc>
        <w:tc>
          <w:tcPr>
            <w:tcW w:w="1500" w:type="dxa"/>
            <w:vMerge w:val="continue"/>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vMerge w:val="continue"/>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vMerge w:val="continue"/>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bl>
    <w:p>
      <w:pPr>
        <w:pStyle w:val="31"/>
        <w:ind w:firstLine="0"/>
        <w:jc w:val="left"/>
        <w:rPr>
          <w:rFonts w:ascii="方正仿宋_GBK" w:hAnsi="方正仿宋_GBK" w:eastAsia="方正仿宋_GBK" w:cs="方正仿宋_GBK"/>
          <w:color w:val="333333"/>
          <w:kern w:val="0"/>
          <w:sz w:val="28"/>
          <w:szCs w:val="28"/>
          <w:shd w:val="clear" w:color="auto" w:fill="FFFFFF"/>
        </w:rPr>
      </w:pPr>
    </w:p>
    <w:p>
      <w:pPr>
        <w:pStyle w:val="32"/>
        <w:numPr>
          <w:ilvl w:val="2"/>
          <w:numId w:val="0"/>
        </w:numPr>
        <w:jc w:val="left"/>
        <w:rPr>
          <w:rFonts w:ascii="方正仿宋_GBK" w:hAnsi="方正仿宋_GBK" w:eastAsia="方正仿宋_GBK" w:cs="方正仿宋_GBK"/>
          <w:color w:val="333333"/>
          <w:sz w:val="32"/>
          <w:szCs w:val="32"/>
          <w:shd w:val="clear" w:color="auto" w:fill="FFFFFF"/>
        </w:rPr>
        <w:sectPr>
          <w:footerReference r:id="rId9" w:type="default"/>
          <w:pgSz w:w="16838" w:h="11906" w:orient="landscape"/>
          <w:pgMar w:top="1800" w:right="1440" w:bottom="1800" w:left="1440" w:header="851" w:footer="992" w:gutter="0"/>
          <w:pgNumType w:start="15"/>
          <w:cols w:space="425" w:num="1"/>
          <w:docGrid w:type="lines" w:linePitch="312" w:charSpace="0"/>
        </w:sectPr>
      </w:pPr>
    </w:p>
    <w:p>
      <w:pPr>
        <w:pStyle w:val="6"/>
        <w:rPr>
          <w:sz w:val="44"/>
          <w:szCs w:val="52"/>
        </w:rPr>
      </w:pPr>
      <w:bookmarkStart w:id="17" w:name="_Toc127196604"/>
      <w:bookmarkStart w:id="18" w:name="_Toc127196484"/>
      <w:r>
        <w:rPr>
          <w:rFonts w:hint="eastAsia"/>
          <w:shd w:val="clear" w:color="auto" w:fill="FFFFFF"/>
        </w:rPr>
        <w:t>附录3</w:t>
      </w:r>
      <w:bookmarkEnd w:id="17"/>
      <w:bookmarkEnd w:id="18"/>
      <w:r>
        <w:rPr>
          <w:rFonts w:hint="eastAsia"/>
          <w:shd w:val="clear" w:color="auto" w:fill="FFFFFF"/>
        </w:rPr>
        <w:t xml:space="preserve">  </w:t>
      </w:r>
      <w:r>
        <w:rPr>
          <w:shd w:val="clear" w:color="auto" w:fill="FFFFFF"/>
        </w:rPr>
        <w:t xml:space="preserve"> </w:t>
      </w:r>
    </w:p>
    <w:p>
      <w:pPr>
        <w:pStyle w:val="6"/>
        <w:jc w:val="center"/>
        <w:rPr>
          <w:shd w:val="clear" w:color="auto" w:fill="FFFFFF"/>
        </w:rPr>
      </w:pPr>
      <w:bookmarkStart w:id="19" w:name="_Toc127196605"/>
      <w:r>
        <w:rPr>
          <w:rFonts w:hint="eastAsia"/>
          <w:shd w:val="clear" w:color="auto" w:fill="FFFFFF"/>
        </w:rPr>
        <w:t>项目见证异常情况移交（函）</w:t>
      </w:r>
      <w:bookmarkEnd w:id="19"/>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val="en-US" w:eastAsia="zh-CN"/>
        </w:rPr>
        <w:t>xxxx</w:t>
      </w:r>
      <w:r>
        <w:rPr>
          <w:rFonts w:hint="eastAsia" w:ascii="方正仿宋_GBK" w:hAnsi="方正仿宋_GBK" w:eastAsia="方正仿宋_GBK" w:cs="方正仿宋_GBK"/>
          <w:color w:val="333333"/>
          <w:kern w:val="0"/>
          <w:sz w:val="32"/>
          <w:szCs w:val="32"/>
          <w:shd w:val="clear" w:color="auto" w:fill="FFFFFF"/>
        </w:rPr>
        <w:t>：</w:t>
      </w:r>
    </w:p>
    <w:p>
      <w:pPr>
        <w:pStyle w:val="31"/>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现将XX反馈的“</w:t>
      </w:r>
      <w:r>
        <w:rPr>
          <w:rFonts w:hint="eastAsia" w:ascii="方正仿宋_GBK" w:hAnsi="方正仿宋_GBK" w:eastAsia="方正仿宋_GBK" w:cs="方正仿宋_GBK"/>
          <w:color w:val="333333"/>
          <w:kern w:val="0"/>
          <w:sz w:val="32"/>
          <w:szCs w:val="32"/>
          <w:u w:val="single"/>
          <w:shd w:val="clear" w:color="auto" w:fill="FFFFFF"/>
        </w:rPr>
        <w:t>（项目名称）</w:t>
      </w:r>
      <w:r>
        <w:rPr>
          <w:rFonts w:hint="eastAsia" w:ascii="方正仿宋_GBK" w:hAnsi="方正仿宋_GBK" w:eastAsia="方正仿宋_GBK" w:cs="方正仿宋_GBK"/>
          <w:color w:val="333333"/>
          <w:kern w:val="0"/>
          <w:sz w:val="32"/>
          <w:szCs w:val="32"/>
          <w:shd w:val="clear" w:color="auto" w:fill="FFFFFF"/>
        </w:rPr>
        <w:t>”（编号）关于“</w:t>
      </w:r>
      <w:r>
        <w:rPr>
          <w:rFonts w:hint="eastAsia" w:ascii="方正仿宋_GBK" w:hAnsi="方正仿宋_GBK" w:eastAsia="方正仿宋_GBK" w:cs="方正仿宋_GBK"/>
          <w:color w:val="333333"/>
          <w:kern w:val="0"/>
          <w:sz w:val="32"/>
          <w:szCs w:val="32"/>
          <w:u w:val="single"/>
          <w:shd w:val="clear" w:color="auto" w:fill="FFFFFF"/>
        </w:rPr>
        <w:t>移送主体</w:t>
      </w:r>
      <w:r>
        <w:rPr>
          <w:rFonts w:hint="eastAsia" w:ascii="方正仿宋_GBK" w:hAnsi="方正仿宋_GBK" w:eastAsia="方正仿宋_GBK" w:cs="方正仿宋_GBK"/>
          <w:color w:val="333333"/>
          <w:kern w:val="0"/>
          <w:sz w:val="32"/>
          <w:szCs w:val="32"/>
          <w:shd w:val="clear" w:color="auto" w:fill="FFFFFF"/>
        </w:rPr>
        <w:t>”的情况移交给贵单位。</w:t>
      </w: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附件：相关情况说明及佐证材料  共计  份</w:t>
      </w: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left="5120" w:hanging="5120" w:hangingChars="16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                          宿州市公共资源交易中心                        XX年XX月XX日</w:t>
      </w:r>
    </w:p>
    <w:p>
      <w:pPr>
        <w:pStyle w:val="32"/>
        <w:numPr>
          <w:ilvl w:val="2"/>
          <w:numId w:val="0"/>
        </w:numPr>
        <w:ind w:firstLine="640" w:firstLineChars="200"/>
        <w:jc w:val="left"/>
        <w:rPr>
          <w:rFonts w:ascii="方正仿宋_GBK" w:hAnsi="方正仿宋_GBK" w:eastAsia="方正仿宋_GBK" w:cs="方正仿宋_GBK"/>
          <w:color w:val="333333"/>
          <w:sz w:val="32"/>
          <w:szCs w:val="32"/>
          <w:shd w:val="clear" w:color="auto" w:fill="FFFFFF"/>
        </w:rPr>
        <w:sectPr>
          <w:footerReference r:id="rId10" w:type="default"/>
          <w:pgSz w:w="11906" w:h="16838"/>
          <w:pgMar w:top="1440" w:right="1800" w:bottom="1440" w:left="1800" w:header="851" w:footer="992" w:gutter="0"/>
          <w:pgNumType w:start="16"/>
          <w:cols w:space="425" w:num="1"/>
          <w:docGrid w:type="lines" w:linePitch="312" w:charSpace="0"/>
        </w:sectPr>
      </w:pPr>
    </w:p>
    <w:p>
      <w:pPr>
        <w:pStyle w:val="6"/>
        <w:rPr>
          <w:shd w:val="clear" w:color="auto" w:fill="FFFFFF"/>
        </w:rPr>
      </w:pPr>
      <w:bookmarkStart w:id="20" w:name="_Toc127196606"/>
      <w:r>
        <w:rPr>
          <w:shd w:val="clear" w:color="auto" w:fill="FFFFFF"/>
        </w:rPr>
        <w:t>附录4</w:t>
      </w:r>
      <w:bookmarkEnd w:id="20"/>
    </w:p>
    <w:p>
      <w:pPr>
        <w:pStyle w:val="7"/>
        <w:jc w:val="center"/>
        <w:rPr>
          <w:rFonts w:hint="default"/>
          <w:shd w:val="clear" w:color="auto" w:fill="FFFFFF"/>
        </w:rPr>
      </w:pPr>
      <w:bookmarkStart w:id="21" w:name="_Toc127196607"/>
      <w:r>
        <w:rPr>
          <w:shd w:val="clear" w:color="auto" w:fill="FFFFFF"/>
        </w:rPr>
        <w:t>现场见证电子系统及服务存在问题联系单</w:t>
      </w:r>
      <w:bookmarkEnd w:id="21"/>
    </w:p>
    <w:p>
      <w:pPr>
        <w:pStyle w:val="32"/>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 单号）</w:t>
      </w:r>
    </w:p>
    <w:p>
      <w:pPr>
        <w:pStyle w:val="32"/>
        <w:numPr>
          <w:ilvl w:val="2"/>
          <w:numId w:val="0"/>
        </w:numPr>
        <w:jc w:val="left"/>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24"/>
          <w:szCs w:val="24"/>
          <w:shd w:val="clear" w:color="auto" w:fill="FFFFFF"/>
        </w:rPr>
        <w:t>反馈时间：</w:t>
      </w:r>
      <w:r>
        <w:rPr>
          <w:rFonts w:hint="eastAsia" w:ascii="方正仿宋_GBK" w:hAnsi="方正仿宋_GBK" w:eastAsia="方正仿宋_GBK" w:cs="方正仿宋_GBK"/>
          <w:color w:val="333333"/>
          <w:sz w:val="24"/>
          <w:szCs w:val="24"/>
          <w:u w:val="single"/>
          <w:shd w:val="clear" w:color="auto" w:fill="FFFFFF"/>
        </w:rPr>
        <w:t xml:space="preserve">             </w:t>
      </w:r>
      <w:r>
        <w:rPr>
          <w:rFonts w:hint="eastAsia" w:ascii="方正仿宋_GBK" w:hAnsi="方正仿宋_GBK" w:eastAsia="方正仿宋_GBK" w:cs="方正仿宋_GBK"/>
          <w:color w:val="333333"/>
          <w:sz w:val="24"/>
          <w:szCs w:val="24"/>
          <w:shd w:val="clear" w:color="auto" w:fill="FFFFFF"/>
        </w:rPr>
        <w:t xml:space="preserve">                           反馈人：</w:t>
      </w:r>
      <w:r>
        <w:rPr>
          <w:rFonts w:hint="eastAsia" w:ascii="方正仿宋_GBK" w:hAnsi="方正仿宋_GBK" w:eastAsia="方正仿宋_GBK" w:cs="方正仿宋_GBK"/>
          <w:color w:val="333333"/>
          <w:sz w:val="24"/>
          <w:szCs w:val="24"/>
          <w:u w:val="single"/>
          <w:shd w:val="clear" w:color="auto" w:fill="FFFFFF"/>
        </w:rPr>
        <w:t xml:space="preserve">           </w:t>
      </w:r>
      <w:r>
        <w:rPr>
          <w:rFonts w:hint="eastAsia" w:ascii="方正仿宋_GBK" w:hAnsi="方正仿宋_GBK" w:eastAsia="方正仿宋_GBK" w:cs="方正仿宋_GBK"/>
          <w:color w:val="333333"/>
          <w:sz w:val="24"/>
          <w:szCs w:val="24"/>
          <w:shd w:val="clear" w:color="auto" w:fill="FFFFFF"/>
        </w:rPr>
        <w:t xml:space="preserve">  </w:t>
      </w:r>
      <w:r>
        <w:rPr>
          <w:rFonts w:hint="eastAsia" w:ascii="方正仿宋_GBK" w:hAnsi="方正仿宋_GBK" w:eastAsia="方正仿宋_GBK" w:cs="方正仿宋_GBK"/>
          <w:color w:val="333333"/>
          <w:sz w:val="32"/>
          <w:szCs w:val="32"/>
          <w:shd w:val="clear" w:color="auto" w:fill="FFFFFF"/>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9"/>
        <w:gridCol w:w="5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被反馈科室名称</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被反馈科室具体岗位名称</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被反馈科室岗位责任人</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反馈具体内容</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具体项目实例</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拟定改善期限</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签收人</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备注</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bl>
    <w:p>
      <w:pPr>
        <w:pStyle w:val="32"/>
        <w:numPr>
          <w:ilvl w:val="2"/>
          <w:numId w:val="0"/>
        </w:numPr>
        <w:spacing w:line="0" w:lineRule="atLeast"/>
        <w:jc w:val="left"/>
        <w:rPr>
          <w:rFonts w:ascii="方正仿宋_GBK" w:hAnsi="方正仿宋_GBK" w:eastAsia="方正仿宋_GBK" w:cs="方正仿宋_GBK"/>
          <w:color w:val="333333"/>
          <w:sz w:val="24"/>
          <w:szCs w:val="24"/>
          <w:shd w:val="clear" w:color="auto" w:fill="FFFFFF"/>
        </w:rPr>
      </w:pPr>
    </w:p>
    <w:p>
      <w:pPr>
        <w:pStyle w:val="32"/>
        <w:numPr>
          <w:ilvl w:val="2"/>
          <w:numId w:val="0"/>
        </w:numPr>
        <w:spacing w:line="0" w:lineRule="atLeast"/>
        <w:jc w:val="left"/>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注：见证员注意收集开评标电子系统及相关数字媒介“梗阻”点，及时反馈信息技术部门，以便提高系统使用效率和操作便捷度；对有关市场主体意见建议给予记录、反馈，重点关注招标代理机构及评标评审专家提出的合理化建议，经有关部门认定符合相关加分条件的，经公示无异后及时给予评价加分。</w:t>
      </w: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sectPr>
          <w:footerReference r:id="rId11" w:type="default"/>
          <w:pgSz w:w="11906" w:h="16838"/>
          <w:pgMar w:top="1440" w:right="1800" w:bottom="1440" w:left="1800" w:header="851" w:footer="992" w:gutter="0"/>
          <w:pgNumType w:start="17"/>
          <w:cols w:space="425" w:num="1"/>
          <w:docGrid w:type="lines" w:linePitch="312" w:charSpace="0"/>
        </w:sectPr>
      </w:pPr>
    </w:p>
    <w:p>
      <w:pPr>
        <w:pStyle w:val="7"/>
        <w:jc w:val="center"/>
        <w:rPr>
          <w:rFonts w:hint="default"/>
        </w:rPr>
      </w:pPr>
      <w:bookmarkStart w:id="22" w:name="_Toc127196608"/>
      <w:r>
        <w:t>表6  约谈警示记录</w:t>
      </w:r>
      <w:bookmarkEnd w:id="22"/>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2670"/>
        <w:gridCol w:w="1245"/>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4" w:type="dxa"/>
            <w:vAlign w:val="center"/>
          </w:tcPr>
          <w:p>
            <w:pPr>
              <w:pStyle w:val="2"/>
              <w:ind w:left="0" w:leftChars="0" w:firstLine="0" w:firstLineChars="0"/>
              <w:jc w:val="center"/>
              <w:rPr>
                <w:sz w:val="32"/>
                <w:szCs w:val="32"/>
              </w:rPr>
            </w:pPr>
            <w:r>
              <w:rPr>
                <w:rFonts w:hint="eastAsia"/>
                <w:sz w:val="32"/>
                <w:szCs w:val="32"/>
              </w:rPr>
              <w:t>约谈警示主题</w:t>
            </w:r>
          </w:p>
        </w:tc>
        <w:tc>
          <w:tcPr>
            <w:tcW w:w="6096" w:type="dxa"/>
            <w:gridSpan w:val="3"/>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4" w:type="dxa"/>
            <w:vAlign w:val="center"/>
          </w:tcPr>
          <w:p>
            <w:pPr>
              <w:pStyle w:val="2"/>
              <w:ind w:left="0" w:leftChars="0" w:firstLine="0" w:firstLineChars="0"/>
              <w:jc w:val="center"/>
              <w:rPr>
                <w:sz w:val="32"/>
                <w:szCs w:val="32"/>
              </w:rPr>
            </w:pPr>
            <w:r>
              <w:rPr>
                <w:rFonts w:hint="eastAsia"/>
                <w:sz w:val="32"/>
                <w:szCs w:val="32"/>
              </w:rPr>
              <w:t>约谈警示对象</w:t>
            </w:r>
          </w:p>
        </w:tc>
        <w:tc>
          <w:tcPr>
            <w:tcW w:w="2670" w:type="dxa"/>
            <w:vAlign w:val="center"/>
          </w:tcPr>
          <w:p>
            <w:pPr>
              <w:pStyle w:val="2"/>
              <w:ind w:firstLine="640"/>
              <w:jc w:val="center"/>
              <w:rPr>
                <w:sz w:val="32"/>
                <w:szCs w:val="32"/>
              </w:rPr>
            </w:pPr>
          </w:p>
        </w:tc>
        <w:tc>
          <w:tcPr>
            <w:tcW w:w="1245" w:type="dxa"/>
            <w:vAlign w:val="center"/>
          </w:tcPr>
          <w:p>
            <w:pPr>
              <w:pStyle w:val="2"/>
              <w:ind w:left="0" w:leftChars="0" w:firstLine="0" w:firstLineChars="0"/>
              <w:jc w:val="center"/>
              <w:rPr>
                <w:sz w:val="32"/>
                <w:szCs w:val="32"/>
              </w:rPr>
            </w:pPr>
            <w:r>
              <w:rPr>
                <w:rFonts w:hint="eastAsia"/>
                <w:sz w:val="32"/>
                <w:szCs w:val="32"/>
              </w:rPr>
              <w:t>地点</w:t>
            </w:r>
          </w:p>
        </w:tc>
        <w:tc>
          <w:tcPr>
            <w:tcW w:w="2181" w:type="dxa"/>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4" w:type="dxa"/>
            <w:vAlign w:val="center"/>
          </w:tcPr>
          <w:p>
            <w:pPr>
              <w:pStyle w:val="2"/>
              <w:ind w:left="0" w:leftChars="0" w:firstLine="0" w:firstLineChars="0"/>
              <w:jc w:val="center"/>
              <w:rPr>
                <w:sz w:val="32"/>
                <w:szCs w:val="32"/>
              </w:rPr>
            </w:pPr>
            <w:r>
              <w:rPr>
                <w:rFonts w:hint="eastAsia"/>
                <w:sz w:val="32"/>
                <w:szCs w:val="32"/>
              </w:rPr>
              <w:t>参加约谈警示</w:t>
            </w:r>
          </w:p>
          <w:p>
            <w:pPr>
              <w:pStyle w:val="2"/>
              <w:ind w:left="0" w:leftChars="0" w:firstLine="0" w:firstLineChars="0"/>
              <w:jc w:val="center"/>
              <w:rPr>
                <w:sz w:val="32"/>
                <w:szCs w:val="32"/>
              </w:rPr>
            </w:pPr>
            <w:r>
              <w:rPr>
                <w:rFonts w:hint="eastAsia"/>
                <w:sz w:val="32"/>
                <w:szCs w:val="32"/>
              </w:rPr>
              <w:t>人员</w:t>
            </w:r>
          </w:p>
        </w:tc>
        <w:tc>
          <w:tcPr>
            <w:tcW w:w="2670" w:type="dxa"/>
            <w:vAlign w:val="center"/>
          </w:tcPr>
          <w:p>
            <w:pPr>
              <w:pStyle w:val="2"/>
              <w:ind w:firstLine="640"/>
              <w:jc w:val="center"/>
              <w:rPr>
                <w:sz w:val="32"/>
                <w:szCs w:val="32"/>
              </w:rPr>
            </w:pPr>
          </w:p>
        </w:tc>
        <w:tc>
          <w:tcPr>
            <w:tcW w:w="1245" w:type="dxa"/>
            <w:vAlign w:val="center"/>
          </w:tcPr>
          <w:p>
            <w:pPr>
              <w:pStyle w:val="2"/>
              <w:ind w:left="0" w:leftChars="0" w:firstLine="0" w:firstLineChars="0"/>
              <w:jc w:val="center"/>
              <w:rPr>
                <w:sz w:val="32"/>
                <w:szCs w:val="32"/>
              </w:rPr>
            </w:pPr>
            <w:r>
              <w:rPr>
                <w:rFonts w:hint="eastAsia"/>
                <w:sz w:val="32"/>
                <w:szCs w:val="32"/>
              </w:rPr>
              <w:t>时间</w:t>
            </w:r>
          </w:p>
        </w:tc>
        <w:tc>
          <w:tcPr>
            <w:tcW w:w="2181" w:type="dxa"/>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4"/>
            <w:vAlign w:val="center"/>
          </w:tcPr>
          <w:p>
            <w:pPr>
              <w:pStyle w:val="2"/>
              <w:ind w:left="0" w:leftChars="0" w:firstLine="0" w:firstLineChars="0"/>
              <w:jc w:val="left"/>
              <w:rPr>
                <w:sz w:val="32"/>
                <w:szCs w:val="32"/>
              </w:rPr>
            </w:pPr>
            <w:r>
              <w:rPr>
                <w:rFonts w:hint="eastAsia"/>
                <w:sz w:val="32"/>
                <w:szCs w:val="32"/>
              </w:rPr>
              <w:t>约谈警示纪要：</w:t>
            </w: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4"/>
            <w:vAlign w:val="center"/>
          </w:tcPr>
          <w:p>
            <w:pPr>
              <w:pStyle w:val="2"/>
              <w:ind w:left="0" w:leftChars="0" w:firstLine="0" w:firstLineChars="0"/>
              <w:jc w:val="left"/>
              <w:rPr>
                <w:sz w:val="32"/>
                <w:szCs w:val="32"/>
              </w:rPr>
            </w:pPr>
            <w:r>
              <w:rPr>
                <w:rFonts w:hint="eastAsia"/>
                <w:sz w:val="32"/>
                <w:szCs w:val="32"/>
              </w:rPr>
              <w:t>参加约谈警示人员签字：</w:t>
            </w:r>
          </w:p>
          <w:p>
            <w:pPr>
              <w:pStyle w:val="2"/>
              <w:ind w:left="0" w:leftChars="0" w:firstLine="0" w:firstLineChars="0"/>
              <w:jc w:val="left"/>
              <w:rPr>
                <w:sz w:val="32"/>
                <w:szCs w:val="32"/>
              </w:rPr>
            </w:pPr>
            <w:r>
              <w:rPr>
                <w:rFonts w:hint="eastAsia"/>
                <w:sz w:val="32"/>
                <w:szCs w:val="32"/>
              </w:rPr>
              <w:t xml:space="preserve">                                      年  月  日</w:t>
            </w:r>
          </w:p>
        </w:tc>
      </w:tr>
    </w:tbl>
    <w:p>
      <w:pPr>
        <w:pStyle w:val="2"/>
        <w:ind w:left="0" w:leftChars="0" w:firstLine="0" w:firstLineChars="0"/>
        <w:rPr>
          <w:b/>
          <w:bCs/>
          <w:sz w:val="32"/>
          <w:szCs w:val="32"/>
        </w:rPr>
      </w:pPr>
    </w:p>
    <w:p>
      <w:pPr>
        <w:pStyle w:val="7"/>
        <w:jc w:val="center"/>
        <w:rPr>
          <w:rFonts w:hint="default"/>
        </w:rPr>
      </w:pPr>
      <w:bookmarkStart w:id="23" w:name="_Toc127196609"/>
      <w:r>
        <w:t>表7  评价与惩戒申诉书</w:t>
      </w:r>
      <w:bookmarkEnd w:id="2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455"/>
        <w:gridCol w:w="1245"/>
        <w:gridCol w:w="120"/>
        <w:gridCol w:w="1290"/>
        <w:gridCol w:w="330"/>
        <w:gridCol w:w="1170"/>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vAlign w:val="center"/>
          </w:tcPr>
          <w:p>
            <w:pPr>
              <w:pStyle w:val="2"/>
              <w:ind w:left="0" w:leftChars="0" w:firstLine="0" w:firstLineChars="0"/>
              <w:jc w:val="center"/>
              <w:rPr>
                <w:sz w:val="32"/>
                <w:szCs w:val="32"/>
              </w:rPr>
            </w:pPr>
            <w:r>
              <w:rPr>
                <w:rFonts w:hint="eastAsia"/>
                <w:sz w:val="32"/>
                <w:szCs w:val="32"/>
              </w:rPr>
              <w:t>项目名称</w:t>
            </w:r>
          </w:p>
        </w:tc>
        <w:tc>
          <w:tcPr>
            <w:tcW w:w="6906" w:type="dxa"/>
            <w:gridSpan w:val="7"/>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vAlign w:val="center"/>
          </w:tcPr>
          <w:p>
            <w:pPr>
              <w:pStyle w:val="2"/>
              <w:ind w:left="0" w:leftChars="0" w:firstLine="0" w:firstLineChars="0"/>
              <w:jc w:val="center"/>
              <w:rPr>
                <w:sz w:val="32"/>
                <w:szCs w:val="32"/>
              </w:rPr>
            </w:pPr>
            <w:r>
              <w:rPr>
                <w:rFonts w:hint="eastAsia"/>
                <w:sz w:val="32"/>
                <w:szCs w:val="32"/>
              </w:rPr>
              <w:t>项目编号</w:t>
            </w:r>
          </w:p>
        </w:tc>
        <w:tc>
          <w:tcPr>
            <w:tcW w:w="6906" w:type="dxa"/>
            <w:gridSpan w:val="7"/>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vAlign w:val="center"/>
          </w:tcPr>
          <w:p>
            <w:pPr>
              <w:pStyle w:val="2"/>
              <w:ind w:left="0" w:leftChars="0" w:firstLine="0" w:firstLineChars="0"/>
              <w:jc w:val="center"/>
              <w:rPr>
                <w:sz w:val="32"/>
                <w:szCs w:val="32"/>
              </w:rPr>
            </w:pPr>
            <w:r>
              <w:rPr>
                <w:rFonts w:hint="eastAsia"/>
                <w:sz w:val="32"/>
                <w:szCs w:val="32"/>
              </w:rPr>
              <w:t>开标时间</w:t>
            </w:r>
          </w:p>
        </w:tc>
        <w:tc>
          <w:tcPr>
            <w:tcW w:w="1455" w:type="dxa"/>
            <w:vAlign w:val="center"/>
          </w:tcPr>
          <w:p>
            <w:pPr>
              <w:pStyle w:val="2"/>
              <w:ind w:firstLine="640"/>
              <w:jc w:val="center"/>
              <w:rPr>
                <w:sz w:val="32"/>
                <w:szCs w:val="32"/>
              </w:rPr>
            </w:pPr>
          </w:p>
        </w:tc>
        <w:tc>
          <w:tcPr>
            <w:tcW w:w="1365" w:type="dxa"/>
            <w:gridSpan w:val="2"/>
            <w:vAlign w:val="center"/>
          </w:tcPr>
          <w:p>
            <w:pPr>
              <w:pStyle w:val="2"/>
              <w:ind w:left="0" w:leftChars="0" w:firstLine="0" w:firstLineChars="0"/>
              <w:jc w:val="center"/>
              <w:rPr>
                <w:sz w:val="32"/>
                <w:szCs w:val="32"/>
              </w:rPr>
            </w:pPr>
            <w:r>
              <w:rPr>
                <w:rFonts w:hint="eastAsia"/>
                <w:sz w:val="32"/>
                <w:szCs w:val="32"/>
              </w:rPr>
              <w:t>开标室</w:t>
            </w:r>
          </w:p>
        </w:tc>
        <w:tc>
          <w:tcPr>
            <w:tcW w:w="1290" w:type="dxa"/>
            <w:vAlign w:val="center"/>
          </w:tcPr>
          <w:p>
            <w:pPr>
              <w:pStyle w:val="2"/>
              <w:ind w:left="0" w:leftChars="0" w:firstLine="0" w:firstLineChars="0"/>
              <w:jc w:val="center"/>
              <w:rPr>
                <w:sz w:val="32"/>
                <w:szCs w:val="32"/>
              </w:rPr>
            </w:pPr>
          </w:p>
        </w:tc>
        <w:tc>
          <w:tcPr>
            <w:tcW w:w="1500" w:type="dxa"/>
            <w:gridSpan w:val="2"/>
            <w:vAlign w:val="center"/>
          </w:tcPr>
          <w:p>
            <w:pPr>
              <w:pStyle w:val="2"/>
              <w:ind w:left="0" w:leftChars="0" w:firstLine="0" w:firstLineChars="0"/>
              <w:jc w:val="center"/>
              <w:rPr>
                <w:sz w:val="32"/>
                <w:szCs w:val="32"/>
              </w:rPr>
            </w:pPr>
            <w:r>
              <w:rPr>
                <w:rFonts w:hint="eastAsia"/>
                <w:sz w:val="32"/>
                <w:szCs w:val="32"/>
              </w:rPr>
              <w:t>评标室</w:t>
            </w:r>
          </w:p>
        </w:tc>
        <w:tc>
          <w:tcPr>
            <w:tcW w:w="1296" w:type="dxa"/>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614" w:type="dxa"/>
            <w:vAlign w:val="center"/>
          </w:tcPr>
          <w:p>
            <w:pPr>
              <w:pStyle w:val="2"/>
              <w:ind w:left="0" w:leftChars="0" w:firstLine="0" w:firstLineChars="0"/>
              <w:jc w:val="center"/>
              <w:rPr>
                <w:sz w:val="32"/>
                <w:szCs w:val="32"/>
              </w:rPr>
            </w:pPr>
            <w:r>
              <w:rPr>
                <w:rFonts w:hint="eastAsia"/>
                <w:sz w:val="32"/>
                <w:szCs w:val="32"/>
              </w:rPr>
              <w:t>申诉主体</w:t>
            </w:r>
          </w:p>
        </w:tc>
        <w:tc>
          <w:tcPr>
            <w:tcW w:w="2700" w:type="dxa"/>
            <w:gridSpan w:val="2"/>
            <w:vAlign w:val="center"/>
          </w:tcPr>
          <w:p>
            <w:pPr>
              <w:pStyle w:val="2"/>
              <w:ind w:left="0" w:leftChars="0" w:firstLine="0" w:firstLineChars="0"/>
              <w:jc w:val="center"/>
              <w:rPr>
                <w:sz w:val="32"/>
                <w:szCs w:val="32"/>
              </w:rPr>
            </w:pPr>
          </w:p>
        </w:tc>
        <w:tc>
          <w:tcPr>
            <w:tcW w:w="1740" w:type="dxa"/>
            <w:gridSpan w:val="3"/>
            <w:vAlign w:val="center"/>
          </w:tcPr>
          <w:p>
            <w:pPr>
              <w:pStyle w:val="2"/>
              <w:ind w:left="0" w:leftChars="0" w:firstLine="0" w:firstLineChars="0"/>
              <w:jc w:val="center"/>
              <w:rPr>
                <w:sz w:val="32"/>
                <w:szCs w:val="32"/>
              </w:rPr>
            </w:pPr>
            <w:r>
              <w:rPr>
                <w:rFonts w:hint="eastAsia"/>
                <w:sz w:val="32"/>
                <w:szCs w:val="32"/>
              </w:rPr>
              <w:t>联系电话</w:t>
            </w:r>
          </w:p>
        </w:tc>
        <w:tc>
          <w:tcPr>
            <w:tcW w:w="2466" w:type="dxa"/>
            <w:gridSpan w:val="2"/>
            <w:vAlign w:val="center"/>
          </w:tcPr>
          <w:p>
            <w:pPr>
              <w:pStyle w:val="2"/>
              <w:ind w:left="0" w:leftChars="0" w:firstLine="0" w:firstLineChars="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8520" w:type="dxa"/>
            <w:gridSpan w:val="8"/>
            <w:vAlign w:val="center"/>
          </w:tcPr>
          <w:p>
            <w:pPr>
              <w:pStyle w:val="2"/>
              <w:ind w:left="0" w:leftChars="0" w:firstLine="0" w:firstLineChars="0"/>
              <w:jc w:val="left"/>
              <w:rPr>
                <w:sz w:val="32"/>
                <w:szCs w:val="32"/>
              </w:rPr>
            </w:pPr>
            <w:r>
              <w:rPr>
                <w:rFonts w:hint="eastAsia"/>
                <w:sz w:val="32"/>
                <w:szCs w:val="32"/>
              </w:rPr>
              <w:t>申诉事项：</w:t>
            </w:r>
          </w:p>
          <w:p>
            <w:pPr>
              <w:pStyle w:val="2"/>
              <w:ind w:left="0" w:leftChars="0" w:firstLine="0" w:firstLineChars="0"/>
              <w:jc w:val="left"/>
              <w:rPr>
                <w:sz w:val="32"/>
                <w:szCs w:val="32"/>
              </w:rPr>
            </w:pPr>
          </w:p>
          <w:p>
            <w:pPr>
              <w:pStyle w:val="2"/>
              <w:ind w:left="0" w:leftChars="0" w:firstLine="0" w:firstLineChars="0"/>
              <w:jc w:val="lef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8520" w:type="dxa"/>
            <w:gridSpan w:val="8"/>
            <w:vAlign w:val="center"/>
          </w:tcPr>
          <w:p>
            <w:pPr>
              <w:pStyle w:val="2"/>
              <w:ind w:left="0" w:leftChars="0" w:firstLine="0" w:firstLineChars="0"/>
              <w:jc w:val="left"/>
              <w:rPr>
                <w:sz w:val="32"/>
                <w:szCs w:val="32"/>
              </w:rPr>
            </w:pPr>
            <w:r>
              <w:rPr>
                <w:rFonts w:hint="eastAsia"/>
                <w:sz w:val="32"/>
                <w:szCs w:val="32"/>
              </w:rPr>
              <w:t>政策依据或免责说明（下附免责证明材料）：</w:t>
            </w:r>
          </w:p>
          <w:p>
            <w:pPr>
              <w:pStyle w:val="2"/>
              <w:ind w:left="0" w:leftChars="0" w:firstLine="0" w:firstLineChars="0"/>
              <w:jc w:val="left"/>
              <w:rPr>
                <w:sz w:val="32"/>
                <w:szCs w:val="32"/>
              </w:rPr>
            </w:pPr>
          </w:p>
          <w:p>
            <w:pPr>
              <w:pStyle w:val="2"/>
              <w:ind w:left="0" w:leftChars="0" w:firstLine="0" w:firstLineChars="0"/>
              <w:jc w:val="lef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520" w:type="dxa"/>
            <w:gridSpan w:val="8"/>
            <w:vAlign w:val="center"/>
          </w:tcPr>
          <w:p>
            <w:pPr>
              <w:pStyle w:val="2"/>
              <w:ind w:left="0" w:leftChars="0" w:firstLine="0" w:firstLineChars="0"/>
              <w:jc w:val="left"/>
              <w:rPr>
                <w:sz w:val="32"/>
                <w:szCs w:val="32"/>
              </w:rPr>
            </w:pPr>
            <w:r>
              <w:rPr>
                <w:rFonts w:hint="eastAsia"/>
                <w:sz w:val="32"/>
                <w:szCs w:val="32"/>
              </w:rPr>
              <w:t>主要诉求：</w:t>
            </w:r>
          </w:p>
          <w:p>
            <w:pPr>
              <w:pStyle w:val="2"/>
              <w:ind w:left="0" w:leftChars="0" w:firstLine="0" w:firstLineChars="0"/>
              <w:jc w:val="left"/>
              <w:rPr>
                <w:sz w:val="32"/>
                <w:szCs w:val="32"/>
              </w:rPr>
            </w:pPr>
          </w:p>
          <w:p>
            <w:pPr>
              <w:pStyle w:val="2"/>
              <w:ind w:left="0" w:leftChars="0" w:firstLine="0" w:firstLineChars="0"/>
              <w:jc w:val="left"/>
              <w:rPr>
                <w:sz w:val="32"/>
                <w:szCs w:val="32"/>
              </w:rPr>
            </w:pPr>
            <w:r>
              <w:rPr>
                <w:rFonts w:hint="eastAsia"/>
                <w:sz w:val="32"/>
                <w:szCs w:val="3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8"/>
            <w:vAlign w:val="center"/>
          </w:tcPr>
          <w:p>
            <w:pPr>
              <w:pStyle w:val="2"/>
              <w:ind w:left="0" w:leftChars="0" w:firstLine="0" w:firstLineChars="0"/>
              <w:rPr>
                <w:sz w:val="32"/>
                <w:szCs w:val="32"/>
              </w:rPr>
            </w:pPr>
            <w:r>
              <w:rPr>
                <w:rFonts w:hint="eastAsia"/>
                <w:sz w:val="32"/>
                <w:szCs w:val="32"/>
              </w:rPr>
              <w:t>其他：</w:t>
            </w:r>
          </w:p>
        </w:tc>
      </w:tr>
    </w:tbl>
    <w:p>
      <w:pPr>
        <w:pStyle w:val="2"/>
        <w:spacing w:line="0" w:lineRule="atLeast"/>
        <w:ind w:left="0" w:leftChars="0" w:firstLine="0" w:firstLineChars="0"/>
        <w:jc w:val="left"/>
        <w:rPr>
          <w:sz w:val="24"/>
          <w:szCs w:val="24"/>
        </w:rPr>
      </w:pPr>
      <w:r>
        <w:rPr>
          <w:rFonts w:hint="eastAsia"/>
          <w:sz w:val="24"/>
          <w:szCs w:val="24"/>
        </w:rPr>
        <w:t>申诉人应在相应的管理办法规定的时间内对评价或惩戒结果提出申诉，逾期未提交申诉或无法提供免责依据的，评价结果自动推送到监管平台。</w:t>
      </w:r>
    </w:p>
    <w:p>
      <w:pPr>
        <w:pStyle w:val="2"/>
        <w:spacing w:line="0" w:lineRule="atLeast"/>
        <w:ind w:left="0" w:leftChars="0" w:firstLine="0" w:firstLineChars="0"/>
        <w:jc w:val="left"/>
        <w:rPr>
          <w:sz w:val="24"/>
          <w:szCs w:val="24"/>
        </w:rPr>
      </w:pPr>
    </w:p>
    <w:p>
      <w:pPr>
        <w:pStyle w:val="2"/>
        <w:spacing w:line="0" w:lineRule="atLeast"/>
        <w:ind w:left="0" w:leftChars="0" w:firstLine="0" w:firstLineChars="0"/>
        <w:jc w:val="left"/>
        <w:rPr>
          <w:sz w:val="24"/>
          <w:szCs w:val="24"/>
        </w:rPr>
      </w:pPr>
    </w:p>
    <w:p>
      <w:pPr>
        <w:pStyle w:val="6"/>
        <w:rPr>
          <w:shd w:val="clear" w:color="auto" w:fill="FFFFFF"/>
        </w:rPr>
      </w:pPr>
      <w:bookmarkStart w:id="24" w:name="_Toc127196610"/>
      <w:r>
        <w:rPr>
          <w:shd w:val="clear" w:color="auto" w:fill="FFFFFF"/>
        </w:rPr>
        <w:t>附录5</w:t>
      </w:r>
      <w:bookmarkEnd w:id="24"/>
    </w:p>
    <w:p>
      <w:pPr>
        <w:pStyle w:val="6"/>
        <w:jc w:val="center"/>
        <w:rPr>
          <w:shd w:val="clear" w:color="auto" w:fill="FFFFFF"/>
        </w:rPr>
      </w:pPr>
      <w:bookmarkStart w:id="25" w:name="_Toc127196611"/>
      <w:r>
        <w:rPr>
          <w:shd w:val="clear" w:color="auto" w:fill="FFFFFF"/>
        </w:rPr>
        <w:t>工作牌防伪标签领取申请单</w:t>
      </w:r>
      <w:bookmarkEnd w:id="25"/>
    </w:p>
    <w:p>
      <w:pPr>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市政务服务管理局中介服务监管科：</w:t>
      </w:r>
    </w:p>
    <w:p>
      <w:pPr>
        <w:pStyle w:val="31"/>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u w:val="single"/>
          <w:shd w:val="clear" w:color="auto" w:fill="FFFFFF"/>
        </w:rPr>
        <w:t xml:space="preserve">                   （公司名称）</w:t>
      </w:r>
      <w:r>
        <w:rPr>
          <w:rFonts w:hint="eastAsia" w:ascii="方正仿宋_GBK" w:hAnsi="方正仿宋_GBK" w:eastAsia="方正仿宋_GBK" w:cs="方正仿宋_GBK"/>
          <w:color w:val="333333"/>
          <w:kern w:val="0"/>
          <w:sz w:val="32"/>
          <w:szCs w:val="32"/>
          <w:shd w:val="clear" w:color="auto" w:fill="FFFFFF"/>
        </w:rPr>
        <w:t>因</w:t>
      </w:r>
      <w:r>
        <w:rPr>
          <w:rFonts w:hint="eastAsia" w:ascii="方正仿宋_GBK" w:hAnsi="方正仿宋_GBK" w:eastAsia="方正仿宋_GBK" w:cs="方正仿宋_GBK"/>
          <w:color w:val="333333"/>
          <w:kern w:val="0"/>
          <w:sz w:val="32"/>
          <w:szCs w:val="32"/>
          <w:u w:val="single"/>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rPr>
        <w:t>（原因），现申请防伪标签</w:t>
      </w:r>
      <w:r>
        <w:rPr>
          <w:rFonts w:hint="eastAsia" w:ascii="方正仿宋_GBK" w:hAnsi="方正仿宋_GBK" w:eastAsia="方正仿宋_GBK" w:cs="方正仿宋_GBK"/>
          <w:color w:val="333333"/>
          <w:kern w:val="0"/>
          <w:sz w:val="32"/>
          <w:szCs w:val="32"/>
          <w:u w:val="single"/>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rPr>
        <w:t>张：</w:t>
      </w:r>
    </w:p>
    <w:p>
      <w:pPr>
        <w:pStyle w:val="31"/>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1.张贴人:</w:t>
      </w: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       标签张贴：    </w:t>
      </w: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  以上名录登记系统已显示，请批准！</w:t>
      </w: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                               Xxxx（加盖公章）</w:t>
      </w: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                                Xx年xx月xx日</w:t>
      </w: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领取人：</w:t>
      </w: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审核人：</w:t>
      </w:r>
    </w:p>
    <w:p>
      <w:pPr>
        <w:pStyle w:val="2"/>
        <w:spacing w:line="0" w:lineRule="atLeast"/>
        <w:ind w:left="0" w:leftChars="0" w:firstLine="0" w:firstLineChars="0"/>
        <w:jc w:val="left"/>
        <w:rPr>
          <w:sz w:val="24"/>
          <w:szCs w:val="24"/>
        </w:rPr>
      </w:pPr>
    </w:p>
    <w:p>
      <w:pPr>
        <w:pStyle w:val="2"/>
        <w:spacing w:line="0" w:lineRule="atLeast"/>
        <w:ind w:left="0" w:leftChars="0" w:firstLine="0" w:firstLineChars="0"/>
        <w:jc w:val="left"/>
        <w:rPr>
          <w:sz w:val="24"/>
          <w:szCs w:val="24"/>
        </w:rPr>
      </w:pPr>
    </w:p>
    <w:p>
      <w:pPr>
        <w:pStyle w:val="2"/>
        <w:spacing w:line="0" w:lineRule="atLeast"/>
        <w:ind w:left="0" w:leftChars="0" w:firstLine="0" w:firstLineChars="0"/>
        <w:jc w:val="left"/>
        <w:rPr>
          <w:sz w:val="24"/>
          <w:szCs w:val="24"/>
        </w:rPr>
      </w:pPr>
    </w:p>
    <w:p>
      <w:pPr>
        <w:pStyle w:val="2"/>
        <w:spacing w:line="0" w:lineRule="atLeast"/>
        <w:ind w:left="0" w:leftChars="0" w:firstLine="0" w:firstLineChars="0"/>
        <w:jc w:val="left"/>
        <w:rPr>
          <w:sz w:val="24"/>
          <w:szCs w:val="24"/>
        </w:rPr>
        <w:sectPr>
          <w:footerReference r:id="rId12" w:type="default"/>
          <w:pgSz w:w="11906" w:h="16838"/>
          <w:pgMar w:top="1440" w:right="1800" w:bottom="1440" w:left="1800" w:header="851" w:footer="992" w:gutter="0"/>
          <w:cols w:space="425" w:num="1"/>
          <w:docGrid w:type="lines" w:linePitch="312" w:charSpace="0"/>
        </w:sectPr>
      </w:pPr>
    </w:p>
    <w:p>
      <w:pPr>
        <w:pStyle w:val="7"/>
        <w:jc w:val="center"/>
        <w:rPr>
          <w:rFonts w:ascii="方正仿宋_GBK" w:hAnsi="方正仿宋_GBK" w:cs="方正仿宋_GBK"/>
          <w:color w:val="333333"/>
          <w:sz w:val="28"/>
          <w:szCs w:val="28"/>
          <w:shd w:val="clear" w:color="auto" w:fill="FFFFFF"/>
        </w:rPr>
      </w:pPr>
      <w:bookmarkStart w:id="26" w:name="_Toc127196612"/>
      <w:r>
        <w:rPr>
          <w:shd w:val="clear" w:color="auto" w:fill="FFFFFF"/>
        </w:rPr>
        <w:t>图2 防伪标签领取流程图</w:t>
      </w:r>
      <w:bookmarkEnd w:id="26"/>
    </w:p>
    <w:p>
      <w:pPr>
        <w:pStyle w:val="2"/>
        <w:spacing w:line="0" w:lineRule="atLeast"/>
        <w:ind w:left="0" w:leftChars="0" w:firstLine="0" w:firstLineChars="0"/>
        <w:jc w:val="left"/>
        <w:rPr>
          <w:sz w:val="24"/>
          <w:szCs w:val="24"/>
        </w:rPr>
        <w:sectPr>
          <w:pgSz w:w="16838" w:h="11906" w:orient="landscape"/>
          <w:pgMar w:top="1800" w:right="1440" w:bottom="1800" w:left="1440" w:header="851" w:footer="992" w:gutter="0"/>
          <w:cols w:space="425" w:num="1"/>
          <w:docGrid w:type="lines" w:linePitch="312" w:charSpace="0"/>
        </w:sectPr>
      </w:pPr>
      <w:r>
        <w:rPr>
          <w:rFonts w:hint="eastAsia" w:ascii="方正仿宋_GBK" w:hAnsi="方正仿宋_GBK" w:eastAsia="方正仿宋_GBK" w:cs="方正仿宋_GBK"/>
          <w:color w:val="333333"/>
          <w:kern w:val="0"/>
          <w:sz w:val="32"/>
          <w:szCs w:val="32"/>
          <w:shd w:val="clear" w:color="auto" w:fill="FFFFFF"/>
        </w:rPr>
        <w:drawing>
          <wp:inline distT="0" distB="0" distL="114300" distR="114300">
            <wp:extent cx="8733155" cy="3315335"/>
            <wp:effectExtent l="0" t="0" r="10795" b="18415"/>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16"/>
                    <a:stretch>
                      <a:fillRect/>
                    </a:stretch>
                  </pic:blipFill>
                  <pic:spPr>
                    <a:xfrm>
                      <a:off x="0" y="0"/>
                      <a:ext cx="8733155" cy="3315335"/>
                    </a:xfrm>
                    <a:prstGeom prst="rect">
                      <a:avLst/>
                    </a:prstGeom>
                  </pic:spPr>
                </pic:pic>
              </a:graphicData>
            </a:graphic>
          </wp:inline>
        </w:drawing>
      </w:r>
    </w:p>
    <w:p>
      <w:pPr>
        <w:spacing w:line="600" w:lineRule="exact"/>
        <w:jc w:val="center"/>
        <w:rPr>
          <w:rFonts w:eastAsia="仿宋" w:asciiTheme="majorHAnsi" w:hAnsiTheme="majorHAnsi" w:cstheme="majorBidi"/>
          <w:b/>
          <w:bCs/>
          <w:sz w:val="32"/>
          <w:szCs w:val="32"/>
          <w:shd w:val="clear" w:color="auto" w:fill="FFFFFF"/>
        </w:rPr>
      </w:pPr>
      <w:r>
        <w:rPr>
          <w:rFonts w:hint="eastAsia" w:eastAsia="仿宋" w:asciiTheme="majorHAnsi" w:hAnsiTheme="majorHAnsi" w:cstheme="majorBidi"/>
          <w:b/>
          <w:bCs/>
          <w:sz w:val="32"/>
          <w:szCs w:val="32"/>
          <w:shd w:val="clear" w:color="auto" w:fill="FFFFFF"/>
        </w:rPr>
        <w:t>午间见证交接班工作机制</w:t>
      </w:r>
    </w:p>
    <w:p>
      <w:pPr>
        <w:pStyle w:val="2"/>
        <w:ind w:firstLine="560"/>
      </w:pPr>
    </w:p>
    <w:p>
      <w:pPr>
        <w:spacing w:line="600" w:lineRule="exact"/>
        <w:ind w:firstLine="64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为进一步强化午间见证责任意识，严格交接班过程管理，确保午间见证不缺岗、不漏岗及安全稳定运行，根据项目见证工作实际制定本机制。  </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1.专职见证员作为项目开评标现场见证的主要负责人，在非交接班时间应严格遵守中心作息规定，不得迟到、早退，未经允许不得擅自代班、调班换岗，严禁脱岗、睡岗，不得擅离岗位，确保监控室项目开评标期间见证人员不“脱节”。</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2.午间接班人员11:30就餐，12:00之前交接班完成。交班人员按值班工作日志中记载的事项顺序，向接班人员详细介绍本班次掌握和处理涉及安全的一切事项、处理的结果、遗留的问题、注意事项，同时将联网监控系统设备运转情况、安全管理情况、监控室所配置物品及领导的指示要求等进行交接，并移交有关物品，并在交接班日志上签字确认。</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3.接班人员要在12:00之前到岗，对监控大屏、电源、通讯等设备、器材进行检查，确认是否完好；查看设备、系统运行状态，仔细听取交班人员的交代事项，做好开评标现场异常情况记录。 </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4.特殊情况下不能按时交接班的要提前通知在值人员，并做好班次调整，交班人在接班人未到岗前不得下班。 </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5.在交接班中若发生设备故障、信号传输故障，由交班人员负责处理，接班人员协助处理完后再行交接班。 </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6.交接班要严肃认真，详细交接，发生漏交、错交均由交班人员负责；接班人员未能发现的问题，由接班人员负责，交接不清的由接班人员负责。项目见证与远程异地评标保障做好工作联动，异地评审期间涉及午间见证的，由异地评审保障组值班人员负责接班。  </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7.交接班所属时间段发现项目开评标有异常情况的，由所属时间段及交接班完成情况确定第一责任人，第一责任人应做好异常情况的收集、记录，</w:t>
      </w:r>
      <w:r>
        <w:rPr>
          <w:rFonts w:hint="eastAsia" w:ascii="方正仿宋_GBK" w:hAnsi="方正仿宋_GBK" w:eastAsia="方正仿宋_GBK" w:cs="方正仿宋_GBK"/>
          <w:color w:val="333333"/>
          <w:kern w:val="0"/>
          <w:sz w:val="32"/>
          <w:szCs w:val="32"/>
          <w:shd w:val="clear" w:color="auto" w:fill="FFFFFF"/>
          <w:lang w:eastAsia="zh-CN"/>
        </w:rPr>
        <w:t>及时报告在</w:t>
      </w:r>
      <w:r>
        <w:rPr>
          <w:rFonts w:hint="eastAsia" w:ascii="方正仿宋_GBK" w:hAnsi="方正仿宋_GBK" w:eastAsia="方正仿宋_GBK" w:cs="方正仿宋_GBK"/>
          <w:color w:val="333333"/>
          <w:kern w:val="0"/>
          <w:sz w:val="32"/>
          <w:szCs w:val="32"/>
          <w:shd w:val="clear" w:color="auto" w:fill="FFFFFF"/>
          <w:lang w:val="en-US" w:eastAsia="zh-CN"/>
        </w:rPr>
        <w:t>/值班领导，</w:t>
      </w:r>
      <w:r>
        <w:rPr>
          <w:rFonts w:hint="eastAsia" w:ascii="方正仿宋_GBK" w:hAnsi="方正仿宋_GBK" w:eastAsia="方正仿宋_GBK" w:cs="方正仿宋_GBK"/>
          <w:color w:val="333333"/>
          <w:kern w:val="0"/>
          <w:sz w:val="32"/>
          <w:szCs w:val="32"/>
          <w:shd w:val="clear" w:color="auto" w:fill="FFFFFF"/>
        </w:rPr>
        <w:t>并统一由专职见证员线上移交（推送）。</w:t>
      </w:r>
    </w:p>
    <w:p>
      <w:pPr>
        <w:spacing w:line="600" w:lineRule="exact"/>
        <w:ind w:firstLine="640" w:firstLineChars="200"/>
        <w:jc w:val="left"/>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rPr>
          <w:rFonts w:ascii="仿宋_GB2312" w:hAnsi="仿宋_GB2312" w:eastAsia="仿宋_GB2312"/>
          <w:sz w:val="32"/>
        </w:rPr>
      </w:pPr>
    </w:p>
    <w:p>
      <w:pPr>
        <w:pStyle w:val="2"/>
        <w:ind w:left="0" w:leftChars="0" w:firstLine="0" w:firstLineChars="0"/>
        <w:rPr>
          <w:rFonts w:ascii="仿宋_GB2312" w:hAnsi="仿宋_GB2312"/>
          <w:sz w:val="32"/>
        </w:rPr>
      </w:pPr>
    </w:p>
    <w:p>
      <w:pPr>
        <w:pStyle w:val="2"/>
        <w:ind w:left="0" w:leftChars="0" w:firstLine="0" w:firstLineChars="0"/>
        <w:rPr>
          <w:rFonts w:ascii="仿宋_GB2312" w:hAnsi="仿宋_GB2312"/>
          <w:sz w:val="32"/>
        </w:rPr>
      </w:pPr>
    </w:p>
    <w:p>
      <w:pPr>
        <w:pStyle w:val="2"/>
        <w:ind w:left="0" w:leftChars="0" w:firstLine="0" w:firstLineChars="0"/>
        <w:rPr>
          <w:rFonts w:ascii="仿宋_GB2312" w:hAnsi="仿宋_GB2312"/>
          <w:sz w:val="32"/>
        </w:rPr>
      </w:pPr>
    </w:p>
    <w:p>
      <w:pPr>
        <w:pStyle w:val="7"/>
        <w:jc w:val="center"/>
        <w:rPr>
          <w:rFonts w:hint="default"/>
        </w:rPr>
      </w:pPr>
      <w:bookmarkStart w:id="27" w:name="_Toc127196613"/>
      <w:r>
        <w:t>午间交接班日志</w:t>
      </w:r>
      <w:bookmarkEnd w:id="27"/>
    </w:p>
    <w:p>
      <w:pPr>
        <w:pStyle w:val="31"/>
        <w:rPr>
          <w:rFonts w:ascii="仿宋_GB2312" w:hAnsi="仿宋_GB2312"/>
          <w:color w:val="auto"/>
          <w:sz w:val="32"/>
          <w:u w:val="single"/>
        </w:rPr>
      </w:pPr>
      <w:r>
        <w:rPr>
          <w:rFonts w:hint="eastAsia" w:ascii="仿宋_GB2312" w:hAnsi="仿宋_GB2312"/>
          <w:color w:val="auto"/>
          <w:sz w:val="32"/>
        </w:rPr>
        <w:t>交 班 人：</w:t>
      </w:r>
      <w:r>
        <w:rPr>
          <w:rFonts w:hint="eastAsia" w:ascii="仿宋_GB2312" w:hAnsi="仿宋_GB2312"/>
          <w:color w:val="auto"/>
          <w:sz w:val="32"/>
          <w:u w:val="single"/>
        </w:rPr>
        <w:t xml:space="preserve">          </w:t>
      </w:r>
      <w:r>
        <w:rPr>
          <w:rFonts w:hint="eastAsia" w:ascii="仿宋_GB2312" w:hAnsi="仿宋_GB2312"/>
          <w:color w:val="auto"/>
          <w:sz w:val="32"/>
        </w:rPr>
        <w:t xml:space="preserve">          接 班 人：</w:t>
      </w:r>
      <w:r>
        <w:rPr>
          <w:rFonts w:hint="eastAsia" w:ascii="仿宋_GB2312" w:hAnsi="仿宋_GB2312"/>
          <w:color w:val="auto"/>
          <w:sz w:val="32"/>
          <w:u w:val="single"/>
        </w:rPr>
        <w:t xml:space="preserve">         </w:t>
      </w:r>
    </w:p>
    <w:p>
      <w:pPr>
        <w:pStyle w:val="31"/>
        <w:rPr>
          <w:rFonts w:ascii="仿宋_GB2312" w:hAnsi="仿宋_GB2312"/>
          <w:color w:val="auto"/>
          <w:sz w:val="32"/>
          <w:u w:val="single"/>
        </w:rPr>
      </w:pPr>
      <w:r>
        <w:rPr>
          <w:rFonts w:hint="eastAsia" w:ascii="仿宋_GB2312" w:hAnsi="仿宋_GB2312"/>
          <w:color w:val="auto"/>
          <w:sz w:val="32"/>
        </w:rPr>
        <w:t>交班时间</w:t>
      </w:r>
      <w:r>
        <w:rPr>
          <w:rFonts w:hint="eastAsia" w:ascii="仿宋_GB2312" w:hAnsi="仿宋_GB2312"/>
          <w:color w:val="auto"/>
          <w:sz w:val="32"/>
          <w:u w:val="single"/>
        </w:rPr>
        <w:t xml:space="preserve">：        </w:t>
      </w:r>
      <w:r>
        <w:rPr>
          <w:rFonts w:hint="eastAsia" w:ascii="仿宋_GB2312" w:hAnsi="仿宋_GB2312"/>
          <w:color w:val="auto"/>
          <w:sz w:val="32"/>
        </w:rPr>
        <w:t xml:space="preserve">            接班时间：</w:t>
      </w:r>
      <w:r>
        <w:rPr>
          <w:rFonts w:hint="eastAsia" w:ascii="仿宋_GB2312" w:hAnsi="仿宋_GB2312"/>
          <w:color w:val="auto"/>
          <w:sz w:val="32"/>
          <w:u w:val="single"/>
        </w:rPr>
        <w:t xml:space="preserve">         </w:t>
      </w:r>
    </w:p>
    <w:tbl>
      <w:tblPr>
        <w:tblStyle w:val="15"/>
        <w:tblW w:w="8586" w:type="dxa"/>
        <w:tblInd w:w="9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3066"/>
        <w:gridCol w:w="4110"/>
        <w:gridCol w:w="141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95"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jc w:val="center"/>
              <w:rPr>
                <w:rFonts w:ascii="仿宋_GB2312" w:hAnsi="仿宋_GB2312" w:eastAsia="仿宋_GB2312"/>
                <w:sz w:val="24"/>
                <w:szCs w:val="21"/>
              </w:rPr>
            </w:pPr>
            <w:r>
              <w:rPr>
                <w:rFonts w:hint="eastAsia" w:ascii="仿宋_GB2312" w:hAnsi="仿宋_GB2312" w:eastAsia="仿宋_GB2312"/>
                <w:sz w:val="24"/>
                <w:szCs w:val="21"/>
              </w:rPr>
              <w:t>交接班内容</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jc w:val="center"/>
              <w:rPr>
                <w:rFonts w:ascii="仿宋_GB2312" w:hAnsi="仿宋_GB2312" w:eastAsia="仿宋_GB2312"/>
                <w:sz w:val="24"/>
                <w:szCs w:val="21"/>
              </w:rPr>
            </w:pPr>
            <w:r>
              <w:rPr>
                <w:rFonts w:hint="eastAsia" w:ascii="仿宋_GB2312" w:hAnsi="仿宋_GB2312" w:eastAsia="仿宋_GB2312"/>
                <w:sz w:val="24"/>
                <w:szCs w:val="21"/>
              </w:rPr>
              <w:t>情况处置</w:t>
            </w: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480" w:firstLineChars="200"/>
              <w:rPr>
                <w:rFonts w:ascii="仿宋_GB2312" w:hAnsi="仿宋_GB2312" w:eastAsia="仿宋_GB2312"/>
                <w:sz w:val="24"/>
                <w:szCs w:val="21"/>
              </w:rPr>
            </w:pPr>
            <w:r>
              <w:rPr>
                <w:rFonts w:hint="eastAsia" w:ascii="仿宋_GB2312" w:hAnsi="仿宋_GB2312" w:eastAsia="仿宋_GB2312"/>
                <w:sz w:val="24"/>
                <w:szCs w:val="21"/>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55"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监控室卫生是否干净</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rPr>
                <w:rFonts w:ascii="仿宋_GB2312" w:hAnsi="仿宋_GB2312" w:eastAsia="仿宋_GB2312"/>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85"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监控设备运行是否</w:t>
            </w:r>
          </w:p>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正常</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rPr>
                <w:rFonts w:ascii="仿宋_GB2312" w:hAnsi="仿宋_GB2312" w:eastAsia="仿宋_GB2312"/>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95"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见证设备运行是否</w:t>
            </w:r>
          </w:p>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正常</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20" w:firstLineChars="200"/>
            </w:pPr>
          </w:p>
          <w:p>
            <w:pPr>
              <w:pStyle w:val="31"/>
              <w:rPr>
                <w:rFonts w:ascii="仿宋_GB2312" w:hAnsi="仿宋_GB2312"/>
                <w:color w:val="auto"/>
                <w:sz w:val="24"/>
                <w:szCs w:val="21"/>
              </w:rPr>
            </w:pPr>
          </w:p>
          <w:p>
            <w:pPr>
              <w:pStyle w:val="31"/>
              <w:rPr>
                <w:rFonts w:ascii="仿宋_GB2312" w:hAnsi="仿宋_GB2312"/>
                <w:color w:val="auto"/>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6" w:hRule="atLeast"/>
        </w:trPr>
        <w:tc>
          <w:tcPr>
            <w:tcW w:w="3066" w:type="dxa"/>
            <w:tcBorders>
              <w:top w:val="single" w:color="000000" w:sz="4" w:space="0"/>
              <w:bottom w:val="single" w:color="auto"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场外监督席使用情况</w:t>
            </w:r>
          </w:p>
        </w:tc>
        <w:tc>
          <w:tcPr>
            <w:tcW w:w="41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600" w:lineRule="exact"/>
              <w:ind w:firstLine="420" w:firstLineChars="200"/>
            </w:pPr>
          </w:p>
          <w:p>
            <w:pPr>
              <w:pStyle w:val="31"/>
              <w:rPr>
                <w:rFonts w:ascii="仿宋_GB2312" w:hAnsi="仿宋_GB2312"/>
                <w:color w:val="auto"/>
                <w:sz w:val="24"/>
                <w:szCs w:val="21"/>
              </w:rPr>
            </w:pPr>
          </w:p>
          <w:p>
            <w:pPr>
              <w:pStyle w:val="31"/>
              <w:rPr>
                <w:rFonts w:ascii="仿宋_GB2312" w:hAnsi="仿宋_GB2312"/>
                <w:color w:val="auto"/>
                <w:sz w:val="24"/>
                <w:szCs w:val="21"/>
              </w:rPr>
            </w:pPr>
          </w:p>
        </w:tc>
        <w:tc>
          <w:tcPr>
            <w:tcW w:w="1410" w:type="dxa"/>
            <w:tcBorders>
              <w:top w:val="single" w:color="000000" w:sz="4" w:space="0"/>
              <w:left w:val="single" w:color="000000" w:sz="4" w:space="0"/>
              <w:bottom w:val="single" w:color="auto"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6" w:hRule="atLeast"/>
        </w:trPr>
        <w:tc>
          <w:tcPr>
            <w:tcW w:w="3066" w:type="dxa"/>
            <w:tcBorders>
              <w:top w:val="single" w:color="auto"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参观记录</w:t>
            </w:r>
          </w:p>
        </w:tc>
        <w:tc>
          <w:tcPr>
            <w:tcW w:w="411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31"/>
              <w:rPr>
                <w:rFonts w:ascii="仿宋_GB2312" w:hAnsi="仿宋_GB2312"/>
                <w:color w:val="auto"/>
                <w:sz w:val="24"/>
                <w:szCs w:val="21"/>
              </w:rPr>
            </w:pPr>
          </w:p>
        </w:tc>
        <w:tc>
          <w:tcPr>
            <w:tcW w:w="1410" w:type="dxa"/>
            <w:tcBorders>
              <w:top w:val="single" w:color="auto"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9"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pStyle w:val="31"/>
              <w:ind w:firstLine="0"/>
            </w:pPr>
          </w:p>
          <w:p>
            <w:pPr>
              <w:spacing w:line="600" w:lineRule="exact"/>
              <w:jc w:val="center"/>
              <w:rPr>
                <w:rFonts w:hint="eastAsia" w:ascii="仿宋_GB2312" w:hAnsi="仿宋_GB2312" w:eastAsia="仿宋_GB2312"/>
                <w:sz w:val="24"/>
                <w:szCs w:val="21"/>
              </w:rPr>
            </w:pPr>
            <w:r>
              <w:rPr>
                <w:rFonts w:hint="eastAsia" w:ascii="仿宋_GB2312" w:hAnsi="仿宋_GB2312" w:eastAsia="仿宋_GB2312"/>
                <w:sz w:val="24"/>
                <w:szCs w:val="21"/>
              </w:rPr>
              <w:t>涉围标串标、干扰开评标秩序、虚假应标等重点异常</w:t>
            </w:r>
          </w:p>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情况记录</w:t>
            </w:r>
          </w:p>
          <w:p>
            <w:pPr>
              <w:pStyle w:val="2"/>
              <w:ind w:firstLine="560"/>
            </w:pP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9"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是否存在安全管理情况</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rPr>
                <w:rFonts w:ascii="仿宋_GB2312" w:hAnsi="仿宋_GB2312" w:eastAsia="仿宋_GB2312"/>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9"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其他</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rPr>
                <w:rFonts w:ascii="仿宋_GB2312" w:hAnsi="仿宋_GB2312" w:eastAsia="仿宋_GB2312"/>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bl>
    <w:p>
      <w:pPr>
        <w:pStyle w:val="7"/>
        <w:jc w:val="center"/>
        <w:rPr>
          <w:rFonts w:hint="default"/>
        </w:rPr>
      </w:pPr>
      <w:bookmarkStart w:id="28" w:name="_Toc127196614"/>
      <w:r>
        <w:t>午间见证交接班值班表</w:t>
      </w:r>
      <w:bookmarkEnd w:id="28"/>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4272"/>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827" w:type="dxa"/>
            <w:vAlign w:val="center"/>
          </w:tcPr>
          <w:p>
            <w:pPr>
              <w:pStyle w:val="31"/>
              <w:ind w:firstLine="0"/>
              <w:jc w:val="center"/>
              <w:rPr>
                <w:rFonts w:ascii="仿宋_GB2312" w:hAnsi="仿宋_GB2312"/>
                <w:color w:val="auto"/>
                <w:sz w:val="32"/>
              </w:rPr>
            </w:pPr>
            <w:r>
              <w:rPr>
                <w:rFonts w:hint="eastAsia" w:ascii="仿宋_GB2312" w:hAnsi="仿宋_GB2312"/>
                <w:color w:val="auto"/>
                <w:sz w:val="32"/>
              </w:rPr>
              <w:t>专职见证员</w:t>
            </w:r>
          </w:p>
        </w:tc>
        <w:tc>
          <w:tcPr>
            <w:tcW w:w="6694" w:type="dxa"/>
            <w:gridSpan w:val="2"/>
            <w:vAlign w:val="center"/>
          </w:tcPr>
          <w:p>
            <w:pPr>
              <w:pStyle w:val="31"/>
              <w:rPr>
                <w:rFonts w:ascii="仿宋_GB2312" w:hAnsi="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b/>
                <w:bCs/>
                <w:color w:val="auto"/>
                <w:sz w:val="32"/>
              </w:rPr>
            </w:pPr>
            <w:r>
              <w:rPr>
                <w:rFonts w:hint="eastAsia" w:ascii="仿宋_GB2312" w:hAnsi="仿宋_GB2312"/>
                <w:b/>
                <w:bCs/>
                <w:color w:val="auto"/>
                <w:sz w:val="32"/>
              </w:rPr>
              <w:t>日次</w:t>
            </w:r>
          </w:p>
        </w:tc>
        <w:tc>
          <w:tcPr>
            <w:tcW w:w="4272" w:type="dxa"/>
            <w:vAlign w:val="center"/>
          </w:tcPr>
          <w:p>
            <w:pPr>
              <w:pStyle w:val="31"/>
              <w:jc w:val="center"/>
              <w:rPr>
                <w:rFonts w:ascii="仿宋_GB2312" w:hAnsi="仿宋_GB2312"/>
                <w:b/>
                <w:bCs/>
                <w:color w:val="auto"/>
                <w:sz w:val="32"/>
              </w:rPr>
            </w:pPr>
            <w:r>
              <w:rPr>
                <w:rFonts w:hint="eastAsia" w:ascii="仿宋_GB2312" w:hAnsi="仿宋_GB2312"/>
                <w:b/>
                <w:bCs/>
                <w:color w:val="auto"/>
                <w:sz w:val="32"/>
              </w:rPr>
              <w:t>午间（轮值）见证接班员</w:t>
            </w:r>
          </w:p>
        </w:tc>
        <w:tc>
          <w:tcPr>
            <w:tcW w:w="2422" w:type="dxa"/>
            <w:vAlign w:val="center"/>
          </w:tcPr>
          <w:p>
            <w:pPr>
              <w:pStyle w:val="31"/>
              <w:rPr>
                <w:rFonts w:ascii="仿宋_GB2312" w:hAnsi="仿宋_GB2312"/>
                <w:b/>
                <w:bCs/>
                <w:color w:val="auto"/>
                <w:sz w:val="32"/>
              </w:rPr>
            </w:pPr>
            <w:r>
              <w:rPr>
                <w:rFonts w:hint="eastAsia" w:ascii="仿宋_GB2312" w:hAnsi="仿宋_GB2312"/>
                <w:b/>
                <w:bCs/>
                <w:color w:val="auto"/>
                <w:sz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color w:val="auto"/>
                <w:sz w:val="32"/>
              </w:rPr>
            </w:pPr>
            <w:r>
              <w:rPr>
                <w:rFonts w:hint="eastAsia" w:ascii="仿宋_GB2312" w:hAnsi="仿宋_GB2312"/>
                <w:color w:val="auto"/>
                <w:sz w:val="32"/>
              </w:rPr>
              <w:t>周一</w:t>
            </w:r>
          </w:p>
        </w:tc>
        <w:tc>
          <w:tcPr>
            <w:tcW w:w="4272" w:type="dxa"/>
            <w:vAlign w:val="center"/>
          </w:tcPr>
          <w:p>
            <w:pPr>
              <w:pStyle w:val="31"/>
              <w:jc w:val="center"/>
              <w:rPr>
                <w:rFonts w:ascii="仿宋_GB2312" w:hAnsi="仿宋_GB2312"/>
                <w:color w:val="auto"/>
                <w:sz w:val="32"/>
              </w:rPr>
            </w:pPr>
          </w:p>
        </w:tc>
        <w:tc>
          <w:tcPr>
            <w:tcW w:w="2422" w:type="dxa"/>
            <w:vAlign w:val="center"/>
          </w:tcPr>
          <w:p>
            <w:pPr>
              <w:pStyle w:val="31"/>
              <w:jc w:val="center"/>
              <w:rPr>
                <w:rFonts w:ascii="仿宋_GB2312" w:hAnsi="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color w:val="auto"/>
                <w:sz w:val="32"/>
              </w:rPr>
            </w:pPr>
            <w:r>
              <w:rPr>
                <w:rFonts w:hint="eastAsia" w:ascii="仿宋_GB2312" w:hAnsi="仿宋_GB2312"/>
                <w:color w:val="auto"/>
                <w:sz w:val="32"/>
              </w:rPr>
              <w:t>周二</w:t>
            </w:r>
          </w:p>
        </w:tc>
        <w:tc>
          <w:tcPr>
            <w:tcW w:w="4272" w:type="dxa"/>
            <w:vAlign w:val="center"/>
          </w:tcPr>
          <w:p>
            <w:pPr>
              <w:pStyle w:val="31"/>
              <w:jc w:val="center"/>
              <w:rPr>
                <w:rFonts w:ascii="仿宋_GB2312" w:hAnsi="仿宋_GB2312"/>
                <w:color w:val="auto"/>
                <w:sz w:val="32"/>
              </w:rPr>
            </w:pPr>
          </w:p>
        </w:tc>
        <w:tc>
          <w:tcPr>
            <w:tcW w:w="2422" w:type="dxa"/>
            <w:vAlign w:val="center"/>
          </w:tcPr>
          <w:p>
            <w:pPr>
              <w:pStyle w:val="31"/>
              <w:jc w:val="center"/>
              <w:rPr>
                <w:rFonts w:ascii="仿宋_GB2312" w:hAnsi="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color w:val="auto"/>
                <w:sz w:val="32"/>
              </w:rPr>
            </w:pPr>
            <w:r>
              <w:rPr>
                <w:rFonts w:hint="eastAsia" w:ascii="仿宋_GB2312" w:hAnsi="仿宋_GB2312"/>
                <w:color w:val="auto"/>
                <w:sz w:val="32"/>
              </w:rPr>
              <w:t>周三</w:t>
            </w:r>
          </w:p>
        </w:tc>
        <w:tc>
          <w:tcPr>
            <w:tcW w:w="4272" w:type="dxa"/>
            <w:vAlign w:val="center"/>
          </w:tcPr>
          <w:p>
            <w:pPr>
              <w:pStyle w:val="31"/>
              <w:jc w:val="center"/>
              <w:rPr>
                <w:rFonts w:ascii="仿宋_GB2312" w:hAnsi="仿宋_GB2312"/>
                <w:color w:val="auto"/>
                <w:sz w:val="32"/>
              </w:rPr>
            </w:pPr>
          </w:p>
        </w:tc>
        <w:tc>
          <w:tcPr>
            <w:tcW w:w="2422" w:type="dxa"/>
            <w:vAlign w:val="center"/>
          </w:tcPr>
          <w:p>
            <w:pPr>
              <w:pStyle w:val="31"/>
              <w:jc w:val="center"/>
              <w:rPr>
                <w:rFonts w:ascii="仿宋_GB2312" w:hAnsi="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color w:val="auto"/>
                <w:sz w:val="32"/>
              </w:rPr>
            </w:pPr>
            <w:r>
              <w:rPr>
                <w:rFonts w:hint="eastAsia" w:ascii="仿宋_GB2312" w:hAnsi="仿宋_GB2312"/>
                <w:color w:val="auto"/>
                <w:sz w:val="32"/>
              </w:rPr>
              <w:t>周四</w:t>
            </w:r>
          </w:p>
        </w:tc>
        <w:tc>
          <w:tcPr>
            <w:tcW w:w="4272" w:type="dxa"/>
            <w:vAlign w:val="center"/>
          </w:tcPr>
          <w:p>
            <w:pPr>
              <w:pStyle w:val="31"/>
              <w:jc w:val="center"/>
              <w:rPr>
                <w:rFonts w:ascii="仿宋_GB2312" w:hAnsi="仿宋_GB2312"/>
                <w:color w:val="auto"/>
                <w:sz w:val="32"/>
              </w:rPr>
            </w:pPr>
          </w:p>
        </w:tc>
        <w:tc>
          <w:tcPr>
            <w:tcW w:w="2422" w:type="dxa"/>
            <w:vAlign w:val="center"/>
          </w:tcPr>
          <w:p>
            <w:pPr>
              <w:pStyle w:val="31"/>
              <w:jc w:val="center"/>
              <w:rPr>
                <w:rFonts w:ascii="仿宋_GB2312" w:hAnsi="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color w:val="auto"/>
                <w:sz w:val="32"/>
              </w:rPr>
            </w:pPr>
            <w:r>
              <w:rPr>
                <w:rFonts w:hint="eastAsia" w:ascii="仿宋_GB2312" w:hAnsi="仿宋_GB2312"/>
                <w:color w:val="auto"/>
                <w:sz w:val="32"/>
              </w:rPr>
              <w:t>周五</w:t>
            </w:r>
          </w:p>
        </w:tc>
        <w:tc>
          <w:tcPr>
            <w:tcW w:w="4272" w:type="dxa"/>
            <w:vAlign w:val="center"/>
          </w:tcPr>
          <w:p>
            <w:pPr>
              <w:pStyle w:val="31"/>
              <w:jc w:val="center"/>
              <w:rPr>
                <w:rFonts w:ascii="仿宋_GB2312" w:hAnsi="仿宋_GB2312"/>
                <w:color w:val="auto"/>
                <w:sz w:val="32"/>
              </w:rPr>
            </w:pPr>
          </w:p>
        </w:tc>
        <w:tc>
          <w:tcPr>
            <w:tcW w:w="2422" w:type="dxa"/>
            <w:vAlign w:val="center"/>
          </w:tcPr>
          <w:p>
            <w:pPr>
              <w:pStyle w:val="31"/>
              <w:jc w:val="center"/>
              <w:rPr>
                <w:rFonts w:ascii="仿宋_GB2312" w:hAnsi="仿宋_GB2312"/>
                <w:color w:val="auto"/>
                <w:sz w:val="32"/>
              </w:rPr>
            </w:pPr>
          </w:p>
        </w:tc>
      </w:tr>
    </w:tbl>
    <w:p>
      <w:pPr>
        <w:pStyle w:val="31"/>
        <w:rPr>
          <w:rFonts w:ascii="仿宋_GB2312" w:hAnsi="仿宋_GB2312"/>
          <w:color w:val="auto"/>
          <w:sz w:val="32"/>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6"/>
        <w:jc w:val="center"/>
        <w:rPr>
          <w:rFonts w:ascii="仿宋_GB2312" w:hAnsi="仿宋_GB2312" w:eastAsia="仿宋_GB2312" w:cstheme="minorBidi"/>
          <w:szCs w:val="24"/>
        </w:rPr>
      </w:pPr>
      <w:bookmarkStart w:id="29" w:name="_Toc127196615"/>
      <w:r>
        <w:rPr>
          <w:rFonts w:hint="eastAsia"/>
        </w:rPr>
        <w:t>宿州市公共资源交易中心隔夜评标管理办法（试行）</w:t>
      </w:r>
      <w:bookmarkEnd w:id="29"/>
    </w:p>
    <w:p>
      <w:pPr>
        <w:ind w:firstLine="640" w:firstLineChars="200"/>
        <w:rPr>
          <w:rFonts w:ascii="仿宋_GB2312" w:hAnsi="仿宋_GB2312" w:eastAsia="仿宋_GB2312"/>
          <w:sz w:val="32"/>
        </w:rPr>
      </w:pPr>
      <w:r>
        <w:rPr>
          <w:rFonts w:hint="eastAsia" w:ascii="仿宋_GB2312" w:hAnsi="仿宋_GB2312" w:eastAsia="仿宋_GB2312"/>
          <w:sz w:val="32"/>
        </w:rPr>
        <w:t>第一条 为规范宿州市公共资源交易中心（以下简称“交易中心”）隔夜评标行为，依据《安徽省综合评标评审专家库管理办法》、《宿州市公共资源交易监督管理办法》及宿州市公共资源交易规则等规定，制定本办法。</w:t>
      </w:r>
    </w:p>
    <w:p>
      <w:pPr>
        <w:ind w:firstLine="640" w:firstLineChars="200"/>
        <w:rPr>
          <w:rFonts w:ascii="仿宋_GB2312" w:hAnsi="仿宋_GB2312" w:eastAsia="仿宋_GB2312"/>
          <w:sz w:val="32"/>
        </w:rPr>
      </w:pPr>
      <w:r>
        <w:rPr>
          <w:rFonts w:hint="eastAsia" w:ascii="仿宋_GB2312" w:hAnsi="仿宋_GB2312" w:eastAsia="仿宋_GB2312"/>
          <w:sz w:val="32"/>
        </w:rPr>
        <w:t>第二条 本办法适用于在交易中心进行的开评标活动的公共资源交易项目。</w:t>
      </w:r>
    </w:p>
    <w:p>
      <w:pPr>
        <w:ind w:firstLine="640" w:firstLineChars="200"/>
        <w:rPr>
          <w:rFonts w:ascii="仿宋_GB2312" w:hAnsi="仿宋_GB2312" w:eastAsia="仿宋_GB2312"/>
          <w:sz w:val="32"/>
        </w:rPr>
      </w:pPr>
      <w:r>
        <w:rPr>
          <w:rFonts w:hint="eastAsia" w:ascii="仿宋_GB2312" w:hAnsi="仿宋_GB2312" w:eastAsia="仿宋_GB2312"/>
          <w:sz w:val="32"/>
        </w:rPr>
        <w:t>第三条 隔夜评标是指评标过程或资格审查等活动需间隔一个或多个晚上连续进行。</w:t>
      </w:r>
    </w:p>
    <w:p>
      <w:pPr>
        <w:ind w:firstLine="640" w:firstLineChars="200"/>
        <w:rPr>
          <w:rFonts w:ascii="仿宋_GB2312" w:hAnsi="仿宋_GB2312" w:eastAsia="仿宋_GB2312"/>
          <w:sz w:val="32"/>
        </w:rPr>
      </w:pPr>
      <w:r>
        <w:rPr>
          <w:rFonts w:hint="eastAsia" w:ascii="仿宋_GB2312" w:hAnsi="仿宋_GB2312" w:eastAsia="仿宋_GB2312"/>
          <w:sz w:val="32"/>
        </w:rPr>
        <w:t>第四条 交易中心项目开评标活动，原则上每天不超过8个小时，专家进入评审系统8个小时后自动关闭。</w:t>
      </w:r>
    </w:p>
    <w:p>
      <w:pPr>
        <w:ind w:firstLine="640" w:firstLineChars="200"/>
        <w:rPr>
          <w:rFonts w:ascii="仿宋_GB2312" w:hAnsi="仿宋_GB2312" w:eastAsia="仿宋_GB2312"/>
          <w:sz w:val="32"/>
        </w:rPr>
      </w:pPr>
      <w:r>
        <w:rPr>
          <w:rFonts w:hint="eastAsia" w:ascii="仿宋_GB2312" w:hAnsi="仿宋_GB2312" w:eastAsia="仿宋_GB2312"/>
          <w:sz w:val="32"/>
        </w:rPr>
        <w:t>第五条 如项目评审21:00时前能够结束，由代理机构工作人员提前告知交易中心，并于16点40分前提交隔夜评标申请书到监控室，由项目见证科统一汇总提交信息技术科。</w:t>
      </w:r>
    </w:p>
    <w:p>
      <w:pPr>
        <w:ind w:firstLine="640" w:firstLineChars="200"/>
        <w:rPr>
          <w:rFonts w:ascii="仿宋_GB2312" w:hAnsi="仿宋_GB2312" w:eastAsia="仿宋_GB2312"/>
          <w:sz w:val="32"/>
        </w:rPr>
      </w:pPr>
      <w:r>
        <w:rPr>
          <w:rFonts w:hint="eastAsia" w:ascii="仿宋_GB2312" w:hAnsi="仿宋_GB2312" w:eastAsia="仿宋_GB2312"/>
          <w:sz w:val="32"/>
        </w:rPr>
        <w:t>如项目评审21:00时不能结束，专家进入评审系统8个小时后自动关闭，评审委员会在指定的区域休息，待次日9:00时继续本项目评审活动。</w:t>
      </w:r>
    </w:p>
    <w:p>
      <w:pPr>
        <w:ind w:firstLine="640" w:firstLineChars="200"/>
        <w:rPr>
          <w:rFonts w:ascii="仿宋_GB2312" w:hAnsi="仿宋_GB2312" w:eastAsia="仿宋_GB2312"/>
          <w:sz w:val="32"/>
        </w:rPr>
      </w:pPr>
      <w:r>
        <w:rPr>
          <w:rFonts w:hint="eastAsia" w:ascii="仿宋_GB2312" w:hAnsi="仿宋_GB2312" w:eastAsia="仿宋_GB2312"/>
          <w:sz w:val="32"/>
        </w:rPr>
        <w:t>第六条 评标工作暂停期间不计算评审费用，代理机构应做好时间记录。</w:t>
      </w:r>
    </w:p>
    <w:p>
      <w:pPr>
        <w:ind w:firstLine="640" w:firstLineChars="200"/>
        <w:rPr>
          <w:rFonts w:ascii="仿宋_GB2312" w:hAnsi="仿宋_GB2312" w:eastAsia="仿宋_GB2312"/>
          <w:sz w:val="32"/>
        </w:rPr>
      </w:pPr>
      <w:r>
        <w:rPr>
          <w:rFonts w:hint="eastAsia" w:ascii="仿宋_GB2312" w:hAnsi="仿宋_GB2312" w:eastAsia="仿宋_GB2312"/>
          <w:sz w:val="32"/>
        </w:rPr>
        <w:t>第七条 隔夜评审活动应遵守相关法律法规和以下纪律规定:</w:t>
      </w:r>
    </w:p>
    <w:p>
      <w:pPr>
        <w:ind w:firstLine="640" w:firstLineChars="200"/>
        <w:rPr>
          <w:rFonts w:ascii="仿宋_GB2312" w:hAnsi="仿宋_GB2312" w:eastAsia="仿宋_GB2312"/>
          <w:sz w:val="32"/>
        </w:rPr>
      </w:pPr>
      <w:r>
        <w:rPr>
          <w:rFonts w:hint="eastAsia" w:ascii="仿宋_GB2312" w:hAnsi="仿宋_GB2312" w:eastAsia="仿宋_GB2312"/>
          <w:sz w:val="32"/>
        </w:rPr>
        <w:t>（一）参加隔夜评标的相关人员，在评标活动全部结束前，应按照规定在封闭评标区和休息区工作和生活，严禁擅自离开封闭区域；</w:t>
      </w:r>
    </w:p>
    <w:p>
      <w:pPr>
        <w:ind w:firstLine="640" w:firstLineChars="200"/>
        <w:rPr>
          <w:rFonts w:ascii="仿宋_GB2312" w:hAnsi="仿宋_GB2312" w:eastAsia="仿宋_GB2312"/>
          <w:sz w:val="32"/>
        </w:rPr>
      </w:pPr>
      <w:r>
        <w:rPr>
          <w:rFonts w:hint="eastAsia" w:ascii="仿宋_GB2312" w:hAnsi="仿宋_GB2312" w:eastAsia="仿宋_GB2312"/>
          <w:sz w:val="32"/>
        </w:rPr>
        <w:t>（二）参加隔夜评标活动的相关人员，通讯工具应按照规定统一寄存，如需通知家人，可告知代理机构工作人员，由其代为转告；</w:t>
      </w:r>
    </w:p>
    <w:p>
      <w:pPr>
        <w:ind w:firstLine="640" w:firstLineChars="200"/>
        <w:rPr>
          <w:rFonts w:ascii="仿宋_GB2312" w:hAnsi="仿宋_GB2312" w:eastAsia="仿宋_GB2312"/>
          <w:sz w:val="32"/>
        </w:rPr>
      </w:pPr>
      <w:r>
        <w:rPr>
          <w:rFonts w:hint="eastAsia" w:ascii="仿宋_GB2312" w:hAnsi="仿宋_GB2312" w:eastAsia="仿宋_GB2312"/>
          <w:sz w:val="32"/>
        </w:rPr>
        <w:t>（三）需要定时服用药物的相关人员，其药物统一寄存的，应在社会监督员的陪同见证下到寄存区取服。</w:t>
      </w:r>
    </w:p>
    <w:p>
      <w:pPr>
        <w:ind w:firstLine="640" w:firstLineChars="200"/>
        <w:rPr>
          <w:rFonts w:ascii="仿宋_GB2312" w:hAnsi="仿宋_GB2312" w:eastAsia="仿宋_GB2312"/>
          <w:sz w:val="32"/>
        </w:rPr>
      </w:pPr>
      <w:r>
        <w:rPr>
          <w:rFonts w:hint="eastAsia" w:ascii="仿宋_GB2312" w:hAnsi="仿宋_GB2312" w:eastAsia="仿宋_GB2312"/>
          <w:sz w:val="32"/>
        </w:rPr>
        <w:t>第八条 夜间休息期间，已进入评标区域的代理机构工作人员应做好服务保障，备好相应的生活用品和早餐。</w:t>
      </w:r>
    </w:p>
    <w:p>
      <w:pPr>
        <w:ind w:firstLine="640" w:firstLineChars="200"/>
        <w:rPr>
          <w:rFonts w:ascii="仿宋_GB2312" w:hAnsi="仿宋_GB2312" w:eastAsia="仿宋_GB2312"/>
          <w:sz w:val="32"/>
        </w:rPr>
      </w:pPr>
      <w:r>
        <w:rPr>
          <w:rFonts w:hint="eastAsia" w:ascii="仿宋_GB2312" w:hAnsi="仿宋_GB2312" w:eastAsia="仿宋_GB2312"/>
          <w:sz w:val="32"/>
        </w:rPr>
        <w:t>第九条 代理机构对隔夜评标活动全程跟踪服务、监督，对违反法律法规和公共资源交易相关制度及纪律的如实进行记录，相关线索及时移交中心，由相关行政主管部门及纪检监察部门依法进行查处。</w:t>
      </w:r>
    </w:p>
    <w:p>
      <w:pPr>
        <w:ind w:firstLine="640" w:firstLineChars="200"/>
        <w:rPr>
          <w:rFonts w:ascii="仿宋_GB2312" w:hAnsi="仿宋_GB2312" w:eastAsia="仿宋_GB2312"/>
          <w:sz w:val="32"/>
        </w:rPr>
      </w:pPr>
      <w:r>
        <w:rPr>
          <w:rFonts w:hint="eastAsia" w:ascii="仿宋_GB2312" w:hAnsi="仿宋_GB2312" w:eastAsia="仿宋_GB2312"/>
          <w:sz w:val="32"/>
        </w:rPr>
        <w:t>第十条 本办法由宿州市公共资源交易中心负责解释。</w:t>
      </w:r>
    </w:p>
    <w:p>
      <w:pPr>
        <w:ind w:firstLine="640" w:firstLineChars="200"/>
        <w:rPr>
          <w:rFonts w:ascii="仿宋_GB2312" w:hAnsi="仿宋_GB2312" w:eastAsia="仿宋_GB2312"/>
          <w:sz w:val="32"/>
        </w:rPr>
      </w:pPr>
      <w:r>
        <w:rPr>
          <w:rFonts w:hint="eastAsia" w:ascii="仿宋_GB2312" w:hAnsi="仿宋_GB2312" w:eastAsia="仿宋_GB2312"/>
          <w:sz w:val="32"/>
        </w:rPr>
        <w:t>第十一条 本办法自发布之日起试行。</w:t>
      </w:r>
    </w:p>
    <w:p>
      <w:pPr>
        <w:rPr>
          <w:rFonts w:ascii="仿宋_GB2312" w:hAnsi="仿宋_GB2312" w:eastAsia="仿宋_GB2312"/>
          <w:sz w:val="32"/>
        </w:rPr>
      </w:pPr>
      <w:r>
        <w:rPr>
          <w:rFonts w:hint="eastAsia" w:ascii="仿宋_GB2312" w:hAnsi="仿宋_GB2312" w:eastAsia="仿宋_GB2312"/>
          <w:sz w:val="32"/>
        </w:rPr>
        <w:t xml:space="preserve">                            </w:t>
      </w:r>
    </w:p>
    <w:p>
      <w:pPr>
        <w:rPr>
          <w:rFonts w:ascii="仿宋_GB2312" w:hAnsi="仿宋_GB2312" w:eastAsia="仿宋_GB2312"/>
          <w:sz w:val="32"/>
        </w:rPr>
      </w:pPr>
    </w:p>
    <w:p>
      <w:pPr>
        <w:pStyle w:val="31"/>
      </w:pPr>
    </w:p>
    <w:p>
      <w:pPr>
        <w:pStyle w:val="2"/>
        <w:ind w:left="0" w:leftChars="0" w:firstLine="0" w:firstLineChars="0"/>
      </w:pPr>
    </w:p>
    <w:p>
      <w:pPr>
        <w:jc w:val="center"/>
        <w:rPr>
          <w:rFonts w:ascii="仿宋_GB2312" w:hAnsi="仿宋_GB2312" w:eastAsia="仿宋_GB2312"/>
          <w:b/>
          <w:bCs/>
          <w:sz w:val="32"/>
        </w:rPr>
        <w:sectPr>
          <w:pgSz w:w="11906" w:h="16838"/>
          <w:pgMar w:top="1440" w:right="1800" w:bottom="1440" w:left="1800" w:header="851" w:footer="992" w:gutter="0"/>
          <w:cols w:space="425" w:num="1"/>
          <w:docGrid w:type="lines" w:linePitch="312" w:charSpace="0"/>
        </w:sectPr>
      </w:pPr>
    </w:p>
    <w:p>
      <w:pPr>
        <w:pStyle w:val="7"/>
        <w:jc w:val="center"/>
        <w:rPr>
          <w:rFonts w:hint="default"/>
        </w:rPr>
      </w:pPr>
      <w:bookmarkStart w:id="30" w:name="_Toc127196616"/>
      <w:r>
        <w:t>宿州市公共资源交易中心延迟/隔夜评标申请书</w:t>
      </w:r>
      <w:bookmarkEnd w:id="30"/>
    </w:p>
    <w:p>
      <w:pPr>
        <w:jc w:val="center"/>
        <w:rPr>
          <w:rFonts w:ascii="仿宋_GB2312" w:hAnsi="仿宋_GB2312" w:eastAsia="仿宋_GB2312"/>
          <w:sz w:val="32"/>
        </w:rPr>
      </w:pPr>
    </w:p>
    <w:p>
      <w:pPr>
        <w:ind w:firstLine="640" w:firstLineChars="200"/>
        <w:jc w:val="left"/>
        <w:rPr>
          <w:rFonts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u w:val="single"/>
        </w:rPr>
        <w:t xml:space="preserve">                       （项目名称）</w:t>
      </w:r>
      <w:r>
        <w:rPr>
          <w:rFonts w:hint="eastAsia" w:ascii="仿宋_GB2312" w:hAnsi="仿宋_GB2312" w:eastAsia="仿宋_GB2312"/>
          <w:sz w:val="32"/>
        </w:rPr>
        <w:t>正在第</w:t>
      </w:r>
      <w:r>
        <w:rPr>
          <w:rFonts w:hint="eastAsia" w:ascii="仿宋_GB2312" w:hAnsi="仿宋_GB2312" w:eastAsia="仿宋_GB2312"/>
          <w:sz w:val="32"/>
          <w:u w:val="single"/>
        </w:rPr>
        <w:t xml:space="preserve">   </w:t>
      </w:r>
      <w:r>
        <w:rPr>
          <w:rFonts w:hint="eastAsia" w:ascii="仿宋_GB2312" w:hAnsi="仿宋_GB2312" w:eastAsia="仿宋_GB2312"/>
          <w:sz w:val="32"/>
        </w:rPr>
        <w:t>评标室评审，预计于</w:t>
      </w:r>
      <w:r>
        <w:rPr>
          <w:rFonts w:hint="eastAsia" w:ascii="仿宋_GB2312" w:hAnsi="仿宋_GB2312" w:eastAsia="仿宋_GB2312"/>
          <w:sz w:val="32"/>
          <w:u w:val="single"/>
        </w:rPr>
        <w:t xml:space="preserve">     </w:t>
      </w:r>
      <w:r>
        <w:rPr>
          <w:rFonts w:hint="eastAsia" w:ascii="仿宋_GB2312" w:hAnsi="仿宋_GB2312" w:eastAsia="仿宋_GB2312"/>
          <w:sz w:val="32"/>
        </w:rPr>
        <w:t>点结束，经全体评标委员会商议、同意，根据自身身体状况，自愿申请延迟/隔夜评标活动，自觉遵守交易中心相关管理制度，因延长/隔夜评审活动带来的一些不可预知的后果由代理机构及申请专家负责。</w:t>
      </w:r>
    </w:p>
    <w:p>
      <w:pPr>
        <w:jc w:val="left"/>
        <w:rPr>
          <w:rFonts w:ascii="仿宋_GB2312" w:hAnsi="仿宋_GB2312" w:eastAsia="仿宋_GB2312"/>
          <w:sz w:val="32"/>
        </w:rPr>
      </w:pPr>
    </w:p>
    <w:p>
      <w:pPr>
        <w:jc w:val="left"/>
        <w:rPr>
          <w:rFonts w:ascii="仿宋_GB2312" w:hAnsi="仿宋_GB2312" w:eastAsia="仿宋_GB2312"/>
          <w:sz w:val="32"/>
        </w:rPr>
      </w:pPr>
      <w:r>
        <w:rPr>
          <w:rFonts w:hint="eastAsia" w:ascii="仿宋_GB2312" w:hAnsi="仿宋_GB2312" w:eastAsia="仿宋_GB2312"/>
          <w:sz w:val="32"/>
        </w:rPr>
        <w:t>项目负责人签字（或签章）：</w:t>
      </w:r>
    </w:p>
    <w:p>
      <w:pPr>
        <w:jc w:val="left"/>
        <w:rPr>
          <w:rFonts w:ascii="仿宋_GB2312" w:hAnsi="仿宋_GB2312" w:eastAsia="仿宋_GB2312"/>
          <w:sz w:val="32"/>
        </w:rPr>
      </w:pPr>
    </w:p>
    <w:p>
      <w:pPr>
        <w:jc w:val="left"/>
        <w:rPr>
          <w:rFonts w:ascii="仿宋_GB2312" w:hAnsi="仿宋_GB2312" w:eastAsia="仿宋_GB2312"/>
          <w:sz w:val="32"/>
        </w:rPr>
      </w:pPr>
      <w:r>
        <w:rPr>
          <w:rFonts w:hint="eastAsia" w:ascii="仿宋_GB2312" w:hAnsi="仿宋_GB2312" w:eastAsia="仿宋_GB2312"/>
          <w:sz w:val="32"/>
        </w:rPr>
        <w:t>评标委员会签字：</w:t>
      </w:r>
    </w:p>
    <w:p>
      <w:pPr>
        <w:jc w:val="center"/>
        <w:rPr>
          <w:rFonts w:ascii="仿宋_GB2312" w:hAnsi="仿宋_GB2312" w:eastAsia="仿宋_GB2312"/>
          <w:sz w:val="32"/>
        </w:rPr>
      </w:pPr>
      <w:r>
        <w:rPr>
          <w:rFonts w:hint="eastAsia" w:ascii="仿宋_GB2312" w:hAnsi="仿宋_GB2312" w:eastAsia="仿宋_GB2312"/>
          <w:sz w:val="32"/>
        </w:rPr>
        <w:t xml:space="preserve">                         </w:t>
      </w:r>
    </w:p>
    <w:p>
      <w:pPr>
        <w:jc w:val="center"/>
        <w:rPr>
          <w:rFonts w:ascii="仿宋_GB2312" w:hAnsi="仿宋_GB2312" w:eastAsia="仿宋_GB2312"/>
          <w:sz w:val="32"/>
        </w:rPr>
      </w:pPr>
      <w:r>
        <w:rPr>
          <w:rFonts w:hint="eastAsia" w:ascii="仿宋_GB2312" w:hAnsi="仿宋_GB2312" w:eastAsia="仿宋_GB2312"/>
          <w:sz w:val="32"/>
        </w:rPr>
        <w:t xml:space="preserve">                   公司名称（加盖公章）</w:t>
      </w:r>
    </w:p>
    <w:p>
      <w:pPr>
        <w:ind w:firstLine="640" w:firstLineChars="200"/>
        <w:jc w:val="left"/>
        <w:rPr>
          <w:rFonts w:ascii="仿宋_GB2312" w:hAnsi="仿宋_GB2312" w:eastAsia="仿宋_GB2312"/>
          <w:sz w:val="32"/>
        </w:rPr>
      </w:pPr>
      <w:r>
        <w:rPr>
          <w:rFonts w:hint="eastAsia" w:ascii="仿宋_GB2312" w:hAnsi="仿宋_GB2312" w:eastAsia="仿宋_GB2312"/>
          <w:sz w:val="32"/>
        </w:rPr>
        <w:t xml:space="preserve">                          年   月   日</w:t>
      </w:r>
    </w:p>
    <w:p>
      <w:pPr>
        <w:ind w:firstLine="640" w:firstLineChars="200"/>
        <w:jc w:val="left"/>
        <w:rPr>
          <w:sz w:val="32"/>
          <w:szCs w:val="40"/>
        </w:rPr>
      </w:pPr>
      <w:r>
        <w:rPr>
          <w:rFonts w:hint="eastAsia"/>
          <w:sz w:val="32"/>
          <w:szCs w:val="40"/>
        </w:rPr>
        <w:t xml:space="preserve">                   </w:t>
      </w:r>
    </w:p>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6"/>
        <w:jc w:val="center"/>
        <w:rPr>
          <w:rFonts w:ascii="方正仿宋_GBK" w:hAnsi="方正仿宋_GBK" w:cs="方正仿宋_GBK"/>
          <w:color w:val="333333"/>
          <w:shd w:val="clear" w:color="auto" w:fill="FFFFFF"/>
        </w:rPr>
      </w:pPr>
      <w:bookmarkStart w:id="31" w:name="_Toc127196617"/>
      <w:r>
        <w:rPr>
          <w:rFonts w:hint="eastAsia"/>
        </w:rPr>
        <w:t>中标通知书见证规范</w:t>
      </w:r>
      <w:bookmarkEnd w:id="31"/>
    </w:p>
    <w:p>
      <w:pPr>
        <w:pStyle w:val="14"/>
        <w:widowControl/>
        <w:spacing w:before="150"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1.范围  适用于在本中心进场交易项目（依法进平台的政府投资性质工程建设、政府采购类项目）的中标通知书的见证；依法不进平台或其他交易类项目进平台或借用场地需要见证的视具体情况定。</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流程  代理机构按照评审结果及公告，协助招标人线上完成中标通知书编制，在线、规范签署招标人和招标代理机构电子印章后系统内提交项目见证科；见证员签署项目见证章，即时推送至宿州市公共资源交易电子服务系统及安徽省公共资源交易监管网。</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标准</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lang w:val="en-US" w:eastAsia="zh-CN"/>
        </w:rPr>
        <w:t>3.1</w:t>
      </w:r>
      <w:r>
        <w:rPr>
          <w:rFonts w:hint="eastAsia" w:ascii="方正仿宋_GBK" w:hAnsi="方正仿宋_GBK" w:eastAsia="方正仿宋_GBK" w:cs="方正仿宋_GBK"/>
          <w:color w:val="333333"/>
          <w:sz w:val="32"/>
          <w:szCs w:val="32"/>
          <w:shd w:val="clear" w:color="auto" w:fill="FFFFFF"/>
        </w:rPr>
        <w:t>见证</w:t>
      </w:r>
      <w:r>
        <w:rPr>
          <w:rFonts w:hint="eastAsia" w:ascii="方正仿宋_GBK" w:hAnsi="方正仿宋_GBK" w:eastAsia="方正仿宋_GBK" w:cs="方正仿宋_GBK"/>
          <w:color w:val="333333"/>
          <w:sz w:val="32"/>
          <w:szCs w:val="32"/>
          <w:shd w:val="clear" w:color="auto" w:fill="FFFFFF"/>
          <w:lang w:eastAsia="zh-CN"/>
        </w:rPr>
        <w:t>员</w:t>
      </w:r>
      <w:r>
        <w:rPr>
          <w:rFonts w:hint="eastAsia" w:ascii="方正仿宋_GBK" w:hAnsi="方正仿宋_GBK" w:eastAsia="方正仿宋_GBK" w:cs="方正仿宋_GBK"/>
          <w:color w:val="333333"/>
          <w:sz w:val="32"/>
          <w:szCs w:val="32"/>
          <w:shd w:val="clear" w:color="auto" w:fill="FFFFFF"/>
        </w:rPr>
        <w:t>接到中标通知书见证申请后，对项目的全流程信息的完整性和有效性进行形式查阅，核对招标文件和中标（成交）结果公告信息，确认无误后在线签署项目见证章；见证员对工作日当天17:00之前提交的中标通知书见证申请做出处理，确保1个工作日办结；见证不通过的，要在线一次性告知不通过的原因及需补充的材料。</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lang w:val="en-US" w:eastAsia="zh-CN"/>
        </w:rPr>
        <w:t>3.2</w:t>
      </w:r>
      <w:r>
        <w:rPr>
          <w:rFonts w:hint="eastAsia" w:ascii="方正仿宋_GBK" w:hAnsi="方正仿宋_GBK" w:eastAsia="方正仿宋_GBK" w:cs="方正仿宋_GBK"/>
          <w:color w:val="333333"/>
          <w:sz w:val="32"/>
          <w:szCs w:val="32"/>
          <w:shd w:val="clear" w:color="auto" w:fill="FFFFFF"/>
        </w:rPr>
        <w:t>中标通知书推送要严格按照既定模板的结构化数据，政府采购项目应在评审结果确定当日或次日（工作日）完成中标通知书推送；建设工程项目应在发布中标结果公告当日</w:t>
      </w:r>
      <w:r>
        <w:rPr>
          <w:rFonts w:hint="eastAsia" w:ascii="方正仿宋_GBK" w:hAnsi="方正仿宋_GBK" w:eastAsia="方正仿宋_GBK" w:cs="方正仿宋_GBK"/>
          <w:color w:val="333333"/>
          <w:sz w:val="32"/>
          <w:szCs w:val="32"/>
          <w:shd w:val="clear" w:color="auto" w:fill="FFFFFF"/>
          <w:lang w:val="en-US" w:eastAsia="zh-CN"/>
        </w:rPr>
        <w:t>/</w:t>
      </w:r>
      <w:r>
        <w:rPr>
          <w:rFonts w:hint="eastAsia" w:ascii="方正仿宋_GBK" w:hAnsi="方正仿宋_GBK" w:eastAsia="方正仿宋_GBK" w:cs="方正仿宋_GBK"/>
          <w:color w:val="333333"/>
          <w:sz w:val="32"/>
          <w:szCs w:val="32"/>
          <w:shd w:val="clear" w:color="auto" w:fill="FFFFFF"/>
        </w:rPr>
        <w:t>次日（工作日）完成中标通知书推送。</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lang w:val="en-US" w:eastAsia="zh-CN"/>
        </w:rPr>
        <w:t>3.3</w:t>
      </w:r>
      <w:r>
        <w:rPr>
          <w:rFonts w:hint="eastAsia" w:ascii="方正仿宋_GBK" w:hAnsi="方正仿宋_GBK" w:eastAsia="方正仿宋_GBK" w:cs="方正仿宋_GBK"/>
          <w:color w:val="333333"/>
          <w:sz w:val="32"/>
          <w:szCs w:val="32"/>
          <w:shd w:val="clear" w:color="auto" w:fill="FFFFFF"/>
        </w:rPr>
        <w:t>依照印章管理规范，见证员如实登记见证印章使用记录。</w:t>
      </w:r>
    </w:p>
    <w:p>
      <w:pPr>
        <w:pStyle w:val="32"/>
        <w:numPr>
          <w:ilvl w:val="2"/>
          <w:numId w:val="0"/>
        </w:numPr>
        <w:ind w:firstLine="640" w:firstLineChars="200"/>
        <w:jc w:val="left"/>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4.建立工作周报、调度机制。见证员做好中标通知书推送及时性完整性监测，对不能及时完成推送的要给予记录、汇总、调度，</w:t>
      </w:r>
      <w:r>
        <w:rPr>
          <w:rFonts w:hint="eastAsia" w:ascii="方正仿宋_GBK" w:hAnsi="方正仿宋_GBK" w:eastAsia="方正仿宋_GBK" w:cs="方正仿宋_GBK"/>
          <w:color w:val="333333"/>
          <w:sz w:val="32"/>
          <w:szCs w:val="32"/>
          <w:shd w:val="clear" w:color="auto" w:fill="FFFFFF"/>
          <w:lang w:eastAsia="zh-CN"/>
        </w:rPr>
        <w:t>必要时可</w:t>
      </w:r>
      <w:r>
        <w:rPr>
          <w:rFonts w:hint="eastAsia" w:ascii="方正仿宋_GBK" w:hAnsi="方正仿宋_GBK" w:eastAsia="方正仿宋_GBK" w:cs="方正仿宋_GBK"/>
          <w:color w:val="333333"/>
          <w:sz w:val="32"/>
          <w:szCs w:val="32"/>
          <w:shd w:val="clear" w:color="auto" w:fill="FFFFFF"/>
        </w:rPr>
        <w:t>通过线上渠道反馈（推送）监管平台，进一步压缩场内流转周期。</w:t>
      </w:r>
    </w:p>
    <w:p>
      <w:pPr>
        <w:pStyle w:val="32"/>
        <w:numPr>
          <w:ilvl w:val="2"/>
          <w:numId w:val="0"/>
        </w:numP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 xml:space="preserve">  </w:t>
      </w: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sectPr>
          <w:pgSz w:w="11906" w:h="16838"/>
          <w:pgMar w:top="1440" w:right="1800" w:bottom="1440" w:left="1800" w:header="851" w:footer="992" w:gutter="0"/>
          <w:cols w:space="425" w:num="1"/>
          <w:docGrid w:type="lines" w:linePitch="312" w:charSpace="0"/>
        </w:sectPr>
      </w:pPr>
    </w:p>
    <w:p>
      <w:pPr>
        <w:pStyle w:val="7"/>
        <w:jc w:val="center"/>
        <w:rPr>
          <w:rFonts w:hint="default" w:ascii="方正仿宋_GBK" w:hAnsi="方正仿宋_GBK" w:cs="方正仿宋_GBK"/>
          <w:color w:val="333333"/>
          <w:sz w:val="32"/>
          <w:szCs w:val="32"/>
          <w:shd w:val="clear" w:color="auto" w:fill="FFFFFF"/>
        </w:rPr>
      </w:pPr>
      <w:bookmarkStart w:id="32" w:name="_Toc127196618"/>
      <w:r>
        <w:rPr>
          <w:shd w:val="clear" w:color="auto" w:fill="FFFFFF"/>
        </w:rPr>
        <w:t>中标通知书见证异常情况记录表</w:t>
      </w:r>
      <w:r>
        <w:rPr>
          <w:rFonts w:ascii="方正仿宋_GBK" w:hAnsi="方正仿宋_GBK" w:cs="方正仿宋_GBK"/>
          <w:color w:val="333333"/>
          <w:sz w:val="32"/>
          <w:szCs w:val="32"/>
          <w:shd w:val="clear" w:color="auto" w:fill="FFFFFF"/>
        </w:rPr>
        <w:t>（周报）</w:t>
      </w:r>
      <w:bookmarkEnd w:id="32"/>
    </w:p>
    <w:tbl>
      <w:tblPr>
        <w:tblStyle w:val="16"/>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2700"/>
        <w:gridCol w:w="1920"/>
        <w:gridCol w:w="1740"/>
        <w:gridCol w:w="1725"/>
        <w:gridCol w:w="277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92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登记周期</w:t>
            </w:r>
          </w:p>
        </w:tc>
        <w:tc>
          <w:tcPr>
            <w:tcW w:w="12060" w:type="dxa"/>
            <w:gridSpan w:val="6"/>
          </w:tcPr>
          <w:p>
            <w:pPr>
              <w:pStyle w:val="32"/>
              <w:widowControl/>
              <w:numPr>
                <w:ilvl w:val="2"/>
                <w:numId w:val="0"/>
              </w:numP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192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主要异常监测</w:t>
            </w:r>
          </w:p>
        </w:tc>
        <w:tc>
          <w:tcPr>
            <w:tcW w:w="270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项目名称及编号</w:t>
            </w:r>
          </w:p>
        </w:tc>
        <w:tc>
          <w:tcPr>
            <w:tcW w:w="192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代理机构及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174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招标人及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1725"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监管部门及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2775"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处理情况</w:t>
            </w:r>
          </w:p>
        </w:tc>
        <w:tc>
          <w:tcPr>
            <w:tcW w:w="120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92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中标通知书发放延迟</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tc>
        <w:tc>
          <w:tcPr>
            <w:tcW w:w="27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92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277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92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模板使用不规范</w:t>
            </w:r>
          </w:p>
        </w:tc>
        <w:tc>
          <w:tcPr>
            <w:tcW w:w="27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92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277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92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电子签章不规范</w:t>
            </w:r>
          </w:p>
        </w:tc>
        <w:tc>
          <w:tcPr>
            <w:tcW w:w="27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92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277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2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其他</w:t>
            </w:r>
          </w:p>
        </w:tc>
        <w:tc>
          <w:tcPr>
            <w:tcW w:w="270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tc>
        <w:tc>
          <w:tcPr>
            <w:tcW w:w="192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277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bl>
    <w:p>
      <w:pPr>
        <w:pStyle w:val="32"/>
        <w:numPr>
          <w:ilvl w:val="2"/>
          <w:numId w:val="0"/>
        </w:numPr>
        <w:rPr>
          <w:rFonts w:ascii="方正仿宋_GBK" w:hAnsi="方正仿宋_GBK" w:eastAsia="方正仿宋_GBK" w:cs="方正仿宋_GBK"/>
          <w:color w:val="333333"/>
          <w:sz w:val="22"/>
          <w:szCs w:val="22"/>
          <w:shd w:val="clear" w:color="auto" w:fill="FFFFFF"/>
        </w:rPr>
      </w:pPr>
      <w:r>
        <w:rPr>
          <w:rFonts w:hint="eastAsia" w:ascii="方正仿宋_GBK" w:hAnsi="方正仿宋_GBK" w:eastAsia="方正仿宋_GBK" w:cs="方正仿宋_GBK"/>
          <w:color w:val="333333"/>
          <w:sz w:val="22"/>
          <w:szCs w:val="22"/>
          <w:shd w:val="clear" w:color="auto" w:fill="FFFFFF"/>
          <w:lang w:eastAsia="zh-CN"/>
        </w:rPr>
        <w:t>注：</w:t>
      </w:r>
      <w:r>
        <w:rPr>
          <w:rFonts w:hint="eastAsia" w:ascii="方正仿宋_GBK" w:hAnsi="方正仿宋_GBK" w:eastAsia="方正仿宋_GBK" w:cs="方正仿宋_GBK"/>
          <w:color w:val="333333"/>
          <w:sz w:val="22"/>
          <w:szCs w:val="22"/>
          <w:shd w:val="clear" w:color="auto" w:fill="FFFFFF"/>
        </w:rPr>
        <w:t>见证员注意监测、统计异常情况，及时纠正不规范签章及发放延迟等突出问题，必要时给予约谈、警示，情节严重的推送监管平台。</w:t>
      </w:r>
    </w:p>
    <w:p>
      <w:pPr>
        <w:pStyle w:val="7"/>
        <w:jc w:val="center"/>
        <w:rPr>
          <w:rFonts w:hint="default"/>
          <w:shd w:val="clear" w:color="auto" w:fill="FFFFFF"/>
        </w:rPr>
      </w:pPr>
      <w:bookmarkStart w:id="33" w:name="_Toc127196619"/>
      <w:r>
        <w:rPr>
          <w:shd w:val="clear" w:color="auto" w:fill="FFFFFF"/>
        </w:rPr>
        <w:t>中标通知书见证登记表</w:t>
      </w:r>
      <w:bookmarkEnd w:id="33"/>
      <w:r>
        <w:rPr>
          <w:rFonts w:ascii="方正仿宋_GBK" w:hAnsi="方正仿宋_GBK" w:cs="方正仿宋_GBK"/>
          <w:color w:val="333333"/>
          <w:sz w:val="32"/>
          <w:szCs w:val="32"/>
          <w:shd w:val="clear" w:color="auto" w:fill="FFFFFF"/>
        </w:rPr>
        <w:t>（周报）</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3565"/>
        <w:gridCol w:w="4243"/>
        <w:gridCol w:w="2229"/>
        <w:gridCol w:w="1539"/>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日期</w:t>
            </w:r>
          </w:p>
        </w:tc>
        <w:tc>
          <w:tcPr>
            <w:tcW w:w="3565"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项目名称</w:t>
            </w:r>
          </w:p>
        </w:tc>
        <w:tc>
          <w:tcPr>
            <w:tcW w:w="424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中标单位</w:t>
            </w:r>
          </w:p>
        </w:tc>
        <w:tc>
          <w:tcPr>
            <w:tcW w:w="2229"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代理机构</w:t>
            </w:r>
          </w:p>
        </w:tc>
        <w:tc>
          <w:tcPr>
            <w:tcW w:w="1539"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异常情况</w:t>
            </w:r>
          </w:p>
        </w:tc>
        <w:tc>
          <w:tcPr>
            <w:tcW w:w="128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bl>
    <w:p>
      <w:pPr>
        <w:pStyle w:val="32"/>
        <w:numPr>
          <w:ilvl w:val="2"/>
          <w:numId w:val="0"/>
        </w:numPr>
        <w:rPr>
          <w:rFonts w:ascii="方正仿宋_GBK" w:hAnsi="方正仿宋_GBK" w:eastAsia="方正仿宋_GBK" w:cs="方正仿宋_GBK"/>
          <w:color w:val="333333"/>
          <w:sz w:val="24"/>
          <w:szCs w:val="24"/>
          <w:shd w:val="clear" w:color="auto" w:fill="FFFFFF"/>
        </w:rPr>
        <w:sectPr>
          <w:pgSz w:w="16838" w:h="11906" w:orient="landscape"/>
          <w:pgMar w:top="1800" w:right="1440" w:bottom="1800" w:left="1440" w:header="851" w:footer="992" w:gutter="0"/>
          <w:cols w:space="425" w:num="1"/>
          <w:docGrid w:type="lines" w:linePitch="312" w:charSpace="0"/>
        </w:sectPr>
      </w:pPr>
    </w:p>
    <w:p>
      <w:pPr>
        <w:pStyle w:val="7"/>
        <w:jc w:val="center"/>
        <w:rPr>
          <w:rFonts w:hint="default"/>
          <w:sz w:val="32"/>
          <w:szCs w:val="28"/>
          <w:shd w:val="clear" w:color="auto" w:fill="FFFFFF"/>
        </w:rPr>
      </w:pPr>
      <w:bookmarkStart w:id="34" w:name="_Toc127196620"/>
      <w:r>
        <w:rPr>
          <w:sz w:val="32"/>
          <w:szCs w:val="28"/>
          <w:shd w:val="clear" w:color="auto" w:fill="FFFFFF"/>
        </w:rPr>
        <w:t>合同公开见证</w:t>
      </w:r>
      <w:bookmarkEnd w:id="34"/>
    </w:p>
    <w:p>
      <w:pPr>
        <w:pStyle w:val="14"/>
        <w:widowControl/>
        <w:spacing w:before="150"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bookmarkStart w:id="35" w:name="_bookmark161"/>
      <w:bookmarkEnd w:id="35"/>
      <w:r>
        <w:rPr>
          <w:rFonts w:hint="eastAsia" w:ascii="方正仿宋_GBK" w:hAnsi="方正仿宋_GBK" w:eastAsia="方正仿宋_GBK" w:cs="方正仿宋_GBK"/>
          <w:color w:val="333333"/>
          <w:sz w:val="32"/>
          <w:szCs w:val="32"/>
          <w:shd w:val="clear" w:color="auto" w:fill="FFFFFF"/>
        </w:rPr>
        <w:t>1.范围   适用于在本中心进场交易项目（依法进平台的政府投资性质工程建设、政府采购类项目）的合同公开的见证；依法不进平台或其他交易类项目进平台或借用场地需要见证的视具体情况定。</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bookmarkStart w:id="36" w:name="_bookmark162"/>
      <w:bookmarkEnd w:id="36"/>
      <w:r>
        <w:rPr>
          <w:rFonts w:hint="eastAsia" w:ascii="方正仿宋_GBK" w:hAnsi="方正仿宋_GBK" w:eastAsia="方正仿宋_GBK" w:cs="方正仿宋_GBK"/>
          <w:color w:val="333333"/>
          <w:sz w:val="32"/>
          <w:szCs w:val="32"/>
          <w:shd w:val="clear" w:color="auto" w:fill="FFFFFF"/>
        </w:rPr>
        <w:t>2.</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流程  代理机构按照评审结果及公告，及时协助项目实施主体与中标人签订合同、在线签章，系统内推送到中心见证科，见证</w:t>
      </w:r>
      <w:r>
        <w:rPr>
          <w:rFonts w:hint="eastAsia" w:ascii="方正仿宋_GBK" w:hAnsi="方正仿宋_GBK" w:eastAsia="方正仿宋_GBK" w:cs="方正仿宋_GBK"/>
          <w:color w:val="333333"/>
          <w:sz w:val="32"/>
          <w:szCs w:val="32"/>
          <w:shd w:val="clear" w:color="auto" w:fill="FFFFFF"/>
          <w:lang w:eastAsia="zh-CN"/>
        </w:rPr>
        <w:t>员在线</w:t>
      </w:r>
      <w:r>
        <w:rPr>
          <w:rFonts w:hint="eastAsia" w:ascii="方正仿宋_GBK" w:hAnsi="方正仿宋_GBK" w:eastAsia="方正仿宋_GBK" w:cs="方正仿宋_GBK"/>
          <w:color w:val="333333"/>
          <w:sz w:val="32"/>
          <w:szCs w:val="32"/>
          <w:shd w:val="clear" w:color="auto" w:fill="FFFFFF"/>
        </w:rPr>
        <w:t>签署项目见证章，即时推送至宿州市公共资源交易电子服务系统及安徽省公共资源交易监管网。</w:t>
      </w:r>
    </w:p>
    <w:p>
      <w:pPr>
        <w:pStyle w:val="14"/>
        <w:widowControl/>
        <w:spacing w:beforeAutospacing="0" w:afterAutospacing="0" w:line="402" w:lineRule="atLeast"/>
        <w:ind w:left="607" w:leftChars="289" w:firstLine="150" w:firstLineChars="47"/>
        <w:rPr>
          <w:rFonts w:ascii="方正仿宋_GBK" w:hAnsi="方正仿宋_GBK" w:eastAsia="方正仿宋_GBK" w:cs="方正仿宋_GBK"/>
          <w:color w:val="333333"/>
          <w:sz w:val="32"/>
          <w:szCs w:val="32"/>
          <w:shd w:val="clear" w:color="auto" w:fill="FFFFFF"/>
        </w:rPr>
      </w:pPr>
      <w:bookmarkStart w:id="37" w:name="_bookmark163"/>
      <w:bookmarkEnd w:id="37"/>
      <w:r>
        <w:rPr>
          <w:rFonts w:hint="eastAsia" w:ascii="方正仿宋_GBK" w:hAnsi="方正仿宋_GBK" w:eastAsia="方正仿宋_GBK" w:cs="方正仿宋_GBK"/>
          <w:color w:val="333333"/>
          <w:sz w:val="32"/>
          <w:szCs w:val="32"/>
          <w:shd w:val="clear" w:color="auto" w:fill="FFFFFF"/>
        </w:rPr>
        <w:t>3.</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标准</w:t>
      </w:r>
    </w:p>
    <w:p>
      <w:pPr>
        <w:pStyle w:val="14"/>
        <w:widowControl/>
        <w:spacing w:before="150" w:beforeAutospacing="0" w:afterAutospacing="0" w:line="20" w:lineRule="atLeast"/>
        <w:ind w:right="420"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lang w:val="en-US" w:eastAsia="zh-CN"/>
        </w:rPr>
        <w:t>3.1</w:t>
      </w:r>
      <w:r>
        <w:rPr>
          <w:rFonts w:hint="eastAsia" w:ascii="方正仿宋_GBK" w:hAnsi="方正仿宋_GBK" w:eastAsia="方正仿宋_GBK" w:cs="方正仿宋_GBK"/>
          <w:color w:val="333333"/>
          <w:sz w:val="32"/>
          <w:szCs w:val="32"/>
          <w:shd w:val="clear" w:color="auto" w:fill="FFFFFF"/>
        </w:rPr>
        <w:t>见证</w:t>
      </w:r>
      <w:r>
        <w:rPr>
          <w:rFonts w:hint="eastAsia" w:ascii="方正仿宋_GBK" w:hAnsi="方正仿宋_GBK" w:eastAsia="方正仿宋_GBK" w:cs="方正仿宋_GBK"/>
          <w:color w:val="333333"/>
          <w:sz w:val="32"/>
          <w:szCs w:val="32"/>
          <w:shd w:val="clear" w:color="auto" w:fill="FFFFFF"/>
          <w:lang w:eastAsia="zh-CN"/>
        </w:rPr>
        <w:t>员</w:t>
      </w:r>
      <w:r>
        <w:rPr>
          <w:rFonts w:hint="eastAsia" w:ascii="方正仿宋_GBK" w:hAnsi="方正仿宋_GBK" w:eastAsia="方正仿宋_GBK" w:cs="方正仿宋_GBK"/>
          <w:color w:val="333333"/>
          <w:sz w:val="32"/>
          <w:szCs w:val="32"/>
          <w:shd w:val="clear" w:color="auto" w:fill="FFFFFF"/>
        </w:rPr>
        <w:t>对工作日当天（9:00-17:00）提交的合同公开见证申请实行1个工作日办结；合同公开因各类原因未能一次办结的，要在线一次性告知不通过原因及需</w:t>
      </w:r>
      <w:r>
        <w:rPr>
          <w:rFonts w:hint="eastAsia" w:ascii="方正仿宋_GBK" w:hAnsi="方正仿宋_GBK" w:eastAsia="方正仿宋_GBK" w:cs="方正仿宋_GBK"/>
          <w:color w:val="333333"/>
          <w:sz w:val="32"/>
          <w:szCs w:val="32"/>
          <w:shd w:val="clear" w:color="auto" w:fill="FFFFFF"/>
          <w:lang w:eastAsia="zh-CN"/>
        </w:rPr>
        <w:t>要</w:t>
      </w:r>
      <w:r>
        <w:rPr>
          <w:rFonts w:hint="eastAsia" w:ascii="方正仿宋_GBK" w:hAnsi="方正仿宋_GBK" w:eastAsia="方正仿宋_GBK" w:cs="方正仿宋_GBK"/>
          <w:color w:val="333333"/>
          <w:sz w:val="32"/>
          <w:szCs w:val="32"/>
          <w:shd w:val="clear" w:color="auto" w:fill="FFFFFF"/>
        </w:rPr>
        <w:t>补充</w:t>
      </w:r>
      <w:r>
        <w:rPr>
          <w:rFonts w:hint="eastAsia" w:ascii="方正仿宋_GBK" w:hAnsi="方正仿宋_GBK" w:eastAsia="方正仿宋_GBK" w:cs="方正仿宋_GBK"/>
          <w:color w:val="333333"/>
          <w:sz w:val="32"/>
          <w:szCs w:val="32"/>
          <w:shd w:val="clear" w:color="auto" w:fill="FFFFFF"/>
          <w:lang w:eastAsia="zh-CN"/>
        </w:rPr>
        <w:t>或更正的具体</w:t>
      </w:r>
      <w:r>
        <w:rPr>
          <w:rFonts w:hint="eastAsia" w:ascii="方正仿宋_GBK" w:hAnsi="方正仿宋_GBK" w:eastAsia="方正仿宋_GBK" w:cs="方正仿宋_GBK"/>
          <w:color w:val="333333"/>
          <w:sz w:val="32"/>
          <w:szCs w:val="32"/>
          <w:shd w:val="clear" w:color="auto" w:fill="FFFFFF"/>
        </w:rPr>
        <w:t>材料。</w:t>
      </w:r>
    </w:p>
    <w:p>
      <w:pPr>
        <w:pStyle w:val="14"/>
        <w:widowControl/>
        <w:spacing w:beforeAutospacing="0" w:afterAutospacing="0" w:line="20" w:lineRule="atLeast"/>
        <w:ind w:right="420"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lang w:val="en-US" w:eastAsia="zh-CN"/>
        </w:rPr>
        <w:t>3.2</w:t>
      </w:r>
      <w:r>
        <w:rPr>
          <w:rFonts w:hint="eastAsia" w:ascii="方正仿宋_GBK" w:hAnsi="方正仿宋_GBK" w:eastAsia="方正仿宋_GBK" w:cs="方正仿宋_GBK"/>
          <w:color w:val="333333"/>
          <w:sz w:val="32"/>
          <w:szCs w:val="32"/>
          <w:shd w:val="clear" w:color="auto" w:fill="FFFFFF"/>
        </w:rPr>
        <w:t>合同信息至少包括“合同编号”、“合同名称”、“标段/包/标的物名称”、“合同甲方名称”、“合同乙方 名称”、“合同金额”、“金额单位”、“合同期限”、“合同签署日期”、“合同完成日期”、“质量要求”等合同结构化数据。</w:t>
      </w:r>
    </w:p>
    <w:p>
      <w:pPr>
        <w:pStyle w:val="14"/>
        <w:widowControl/>
        <w:spacing w:before="4" w:beforeAutospacing="0" w:afterAutospacing="0" w:line="20" w:lineRule="atLeast"/>
        <w:ind w:right="486"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lang w:val="en-US" w:eastAsia="zh-CN"/>
        </w:rPr>
        <w:t>3.3</w:t>
      </w:r>
      <w:r>
        <w:rPr>
          <w:rFonts w:hint="eastAsia" w:ascii="方正仿宋_GBK" w:hAnsi="方正仿宋_GBK" w:eastAsia="方正仿宋_GBK" w:cs="方正仿宋_GBK"/>
          <w:color w:val="333333"/>
          <w:sz w:val="32"/>
          <w:szCs w:val="32"/>
          <w:shd w:val="clear" w:color="auto" w:fill="FFFFFF"/>
        </w:rPr>
        <w:t>公开内容不能涉及国家秘密、商业秘密、个人隐私等不宜公开的内容。</w:t>
      </w:r>
    </w:p>
    <w:p>
      <w:pPr>
        <w:ind w:firstLine="640" w:firstLineChars="200"/>
        <w:rPr>
          <w:rFonts w:ascii="方正仿宋_GBK" w:hAnsi="方正仿宋_GBK" w:eastAsia="方正仿宋_GBK" w:cs="方正仿宋_GBK"/>
          <w:color w:val="333333"/>
          <w:sz w:val="24"/>
          <w:shd w:val="clear" w:color="auto" w:fill="FFFFFF"/>
        </w:rPr>
        <w:sectPr>
          <w:pgSz w:w="11906" w:h="16838"/>
          <w:pgMar w:top="1440" w:right="1800" w:bottom="1440" w:left="1800" w:header="851" w:footer="992" w:gutter="0"/>
          <w:cols w:space="425" w:num="1"/>
          <w:docGrid w:type="lines" w:linePitch="312" w:charSpace="0"/>
        </w:sectPr>
      </w:pPr>
      <w:bookmarkStart w:id="38" w:name="_bookmark164"/>
      <w:bookmarkEnd w:id="38"/>
      <w:r>
        <w:rPr>
          <w:rFonts w:hint="eastAsia" w:ascii="方正仿宋_GBK" w:hAnsi="方正仿宋_GBK" w:eastAsia="方正仿宋_GBK" w:cs="方正仿宋_GBK"/>
          <w:color w:val="333333"/>
          <w:sz w:val="32"/>
          <w:szCs w:val="32"/>
          <w:shd w:val="clear" w:color="auto" w:fill="FFFFFF"/>
        </w:rPr>
        <w:t>4.见证员应做好合同公开及时性、完整性监测，工程建设类中标通知书发放25日内、政府采购类中标通知书发放7个工作日内完成合同公开，对不能及时完成的要给予记录、汇总、调度，及时通过线上渠道移交（推送）监管平台或专项报告综合管理部门（</w:t>
      </w:r>
      <w:r>
        <w:rPr>
          <w:rFonts w:hint="eastAsia" w:ascii="方正仿宋_GBK" w:hAnsi="方正仿宋_GBK" w:eastAsia="方正仿宋_GBK" w:cs="方正仿宋_GBK"/>
          <w:color w:val="333333"/>
          <w:sz w:val="32"/>
          <w:szCs w:val="32"/>
          <w:shd w:val="clear" w:color="auto" w:fill="FFFFFF"/>
          <w:lang w:eastAsia="zh-CN"/>
        </w:rPr>
        <w:t>注：</w:t>
      </w:r>
      <w:r>
        <w:rPr>
          <w:rFonts w:hint="eastAsia" w:ascii="方正仿宋_GBK" w:hAnsi="方正仿宋_GBK" w:eastAsia="方正仿宋_GBK" w:cs="方正仿宋_GBK"/>
          <w:color w:val="333333"/>
          <w:sz w:val="32"/>
          <w:szCs w:val="32"/>
          <w:shd w:val="clear" w:color="auto" w:fill="FFFFFF"/>
        </w:rPr>
        <w:t>2023年</w:t>
      </w:r>
      <w:r>
        <w:rPr>
          <w:rFonts w:hint="eastAsia" w:ascii="方正仿宋_GBK" w:hAnsi="方正仿宋_GBK" w:eastAsia="方正仿宋_GBK" w:cs="方正仿宋_GBK"/>
          <w:color w:val="333333"/>
          <w:sz w:val="32"/>
          <w:szCs w:val="32"/>
          <w:shd w:val="clear" w:color="auto" w:fill="FFFFFF"/>
          <w:lang w:eastAsia="zh-CN"/>
        </w:rPr>
        <w:t>，</w:t>
      </w:r>
      <w:r>
        <w:rPr>
          <w:rFonts w:hint="eastAsia" w:ascii="方正仿宋_GBK" w:hAnsi="方正仿宋_GBK" w:eastAsia="方正仿宋_GBK" w:cs="方正仿宋_GBK"/>
          <w:color w:val="333333"/>
          <w:sz w:val="32"/>
          <w:szCs w:val="32"/>
          <w:shd w:val="clear" w:color="auto" w:fill="FFFFFF"/>
        </w:rPr>
        <w:t>因合同公开列入营商环境目标考核，</w:t>
      </w:r>
      <w:r>
        <w:rPr>
          <w:rFonts w:hint="eastAsia" w:ascii="方正仿宋_GBK" w:hAnsi="方正仿宋_GBK" w:eastAsia="方正仿宋_GBK" w:cs="方正仿宋_GBK"/>
          <w:color w:val="333333"/>
          <w:sz w:val="32"/>
          <w:szCs w:val="32"/>
          <w:shd w:val="clear" w:color="auto" w:fill="FFFFFF"/>
          <w:lang w:eastAsia="zh-CN"/>
        </w:rPr>
        <w:t>监测</w:t>
      </w:r>
      <w:r>
        <w:rPr>
          <w:rFonts w:hint="eastAsia" w:ascii="方正仿宋_GBK" w:hAnsi="方正仿宋_GBK" w:eastAsia="方正仿宋_GBK" w:cs="方正仿宋_GBK"/>
          <w:color w:val="333333"/>
          <w:sz w:val="32"/>
          <w:szCs w:val="32"/>
          <w:shd w:val="clear" w:color="auto" w:fill="FFFFFF"/>
        </w:rPr>
        <w:t>工程类合同25日未公开的，</w:t>
      </w:r>
      <w:r>
        <w:rPr>
          <w:rFonts w:hint="eastAsia" w:ascii="方正仿宋_GBK" w:hAnsi="方正仿宋_GBK" w:eastAsia="方正仿宋_GBK" w:cs="方正仿宋_GBK"/>
          <w:color w:val="333333"/>
          <w:sz w:val="32"/>
          <w:szCs w:val="32"/>
          <w:shd w:val="clear" w:color="auto" w:fill="FFFFFF"/>
          <w:lang w:eastAsia="zh-CN"/>
        </w:rPr>
        <w:t>数字见证系统推送</w:t>
      </w:r>
      <w:r>
        <w:rPr>
          <w:rFonts w:hint="eastAsia" w:ascii="方正仿宋_GBK" w:hAnsi="方正仿宋_GBK" w:eastAsia="方正仿宋_GBK" w:cs="方正仿宋_GBK"/>
          <w:color w:val="333333"/>
          <w:sz w:val="32"/>
          <w:szCs w:val="32"/>
          <w:shd w:val="clear" w:color="auto" w:fill="FFFFFF"/>
        </w:rPr>
        <w:t>预警</w:t>
      </w:r>
      <w:r>
        <w:rPr>
          <w:rFonts w:hint="eastAsia" w:ascii="方正仿宋_GBK" w:hAnsi="方正仿宋_GBK" w:eastAsia="方正仿宋_GBK" w:cs="方正仿宋_GBK"/>
          <w:color w:val="333333"/>
          <w:sz w:val="32"/>
          <w:szCs w:val="32"/>
          <w:shd w:val="clear" w:color="auto" w:fill="FFFFFF"/>
          <w:lang w:eastAsia="zh-CN"/>
        </w:rPr>
        <w:t>信息到监管平台，必要时函报</w:t>
      </w:r>
      <w:r>
        <w:rPr>
          <w:rFonts w:hint="eastAsia" w:ascii="方正仿宋_GBK" w:hAnsi="方正仿宋_GBK" w:eastAsia="方正仿宋_GBK" w:cs="方正仿宋_GBK"/>
          <w:color w:val="333333"/>
          <w:sz w:val="32"/>
          <w:szCs w:val="32"/>
          <w:shd w:val="clear" w:color="auto" w:fill="FFFFFF"/>
        </w:rPr>
        <w:t>综合管理部门，由其函办提醒</w:t>
      </w:r>
      <w:r>
        <w:rPr>
          <w:rFonts w:hint="eastAsia" w:ascii="方正仿宋_GBK" w:hAnsi="方正仿宋_GBK" w:eastAsia="方正仿宋_GBK" w:cs="方正仿宋_GBK"/>
          <w:color w:val="333333"/>
          <w:sz w:val="32"/>
          <w:szCs w:val="32"/>
          <w:shd w:val="clear" w:color="auto" w:fill="FFFFFF"/>
          <w:lang w:eastAsia="zh-CN"/>
        </w:rPr>
        <w:t>招标人</w:t>
      </w:r>
      <w:r>
        <w:rPr>
          <w:rFonts w:hint="eastAsia" w:ascii="方正仿宋_GBK" w:hAnsi="方正仿宋_GBK" w:eastAsia="方正仿宋_GBK" w:cs="方正仿宋_GBK"/>
          <w:color w:val="333333"/>
          <w:sz w:val="32"/>
          <w:szCs w:val="32"/>
          <w:shd w:val="clear" w:color="auto" w:fill="FFFFFF"/>
        </w:rPr>
        <w:t>；30日未公开的，专项报告综合管理部门，由其督办）。</w:t>
      </w:r>
    </w:p>
    <w:p>
      <w:pPr>
        <w:pStyle w:val="7"/>
        <w:jc w:val="center"/>
        <w:rPr>
          <w:rFonts w:hint="default"/>
          <w:shd w:val="clear" w:color="auto" w:fill="FFFFFF"/>
        </w:rPr>
      </w:pPr>
      <w:bookmarkStart w:id="39" w:name="七、合同公开"/>
      <w:bookmarkEnd w:id="39"/>
      <w:bookmarkStart w:id="40" w:name="_bookmark160"/>
      <w:bookmarkEnd w:id="40"/>
      <w:bookmarkStart w:id="41" w:name="_Toc127196621"/>
      <w:r>
        <w:rPr>
          <w:shd w:val="clear" w:color="auto" w:fill="FFFFFF"/>
        </w:rPr>
        <w:t>合同公开见证异常情况记录表</w:t>
      </w:r>
      <w:r>
        <w:rPr>
          <w:rFonts w:ascii="方正仿宋_GBK" w:hAnsi="方正仿宋_GBK" w:cs="方正仿宋_GBK"/>
          <w:color w:val="333333"/>
          <w:shd w:val="clear" w:color="auto" w:fill="FFFFFF"/>
        </w:rPr>
        <w:t>（周报）</w:t>
      </w:r>
      <w:bookmarkEnd w:id="41"/>
    </w:p>
    <w:tbl>
      <w:tblPr>
        <w:tblStyle w:val="16"/>
        <w:tblW w:w="14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4"/>
        <w:gridCol w:w="3486"/>
        <w:gridCol w:w="1465"/>
        <w:gridCol w:w="1543"/>
        <w:gridCol w:w="1512"/>
        <w:gridCol w:w="1789"/>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登记周期</w:t>
            </w:r>
          </w:p>
        </w:tc>
        <w:tc>
          <w:tcPr>
            <w:tcW w:w="10785" w:type="dxa"/>
            <w:gridSpan w:val="6"/>
          </w:tcPr>
          <w:p>
            <w:pPr>
              <w:pStyle w:val="32"/>
              <w:widowControl/>
              <w:numPr>
                <w:ilvl w:val="2"/>
                <w:numId w:val="0"/>
              </w:numP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333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主要异常监测</w:t>
            </w:r>
          </w:p>
        </w:tc>
        <w:tc>
          <w:tcPr>
            <w:tcW w:w="339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项目名称及编号</w:t>
            </w:r>
          </w:p>
        </w:tc>
        <w:tc>
          <w:tcPr>
            <w:tcW w:w="1425"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代理机构及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150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招标人及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147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监管部门及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174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处理情况</w:t>
            </w:r>
          </w:p>
        </w:tc>
        <w:tc>
          <w:tcPr>
            <w:tcW w:w="126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333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合同签订延迟</w:t>
            </w:r>
          </w:p>
        </w:tc>
        <w:tc>
          <w:tcPr>
            <w:tcW w:w="339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tc>
        <w:tc>
          <w:tcPr>
            <w:tcW w:w="14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5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7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6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33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合同信息条款与中标/评标情况不一致</w:t>
            </w:r>
          </w:p>
        </w:tc>
        <w:tc>
          <w:tcPr>
            <w:tcW w:w="339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5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7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6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333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合同公开信息涉及国家秘密、商业秘密、个人隐私信息</w:t>
            </w:r>
          </w:p>
        </w:tc>
        <w:tc>
          <w:tcPr>
            <w:tcW w:w="339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5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7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6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333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其他合同公开违规情况</w:t>
            </w:r>
          </w:p>
        </w:tc>
        <w:tc>
          <w:tcPr>
            <w:tcW w:w="339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tc>
        <w:tc>
          <w:tcPr>
            <w:tcW w:w="14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5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7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6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bl>
    <w:p>
      <w:pPr>
        <w:pStyle w:val="32"/>
        <w:numPr>
          <w:ilvl w:val="2"/>
          <w:numId w:val="0"/>
        </w:numPr>
        <w:jc w:val="left"/>
        <w:rPr>
          <w:rFonts w:ascii="方正仿宋_GBK" w:hAnsi="方正仿宋_GBK" w:eastAsia="方正仿宋_GBK" w:cs="方正仿宋_GBK"/>
          <w:b/>
          <w:bCs/>
          <w:color w:val="333333"/>
          <w:sz w:val="32"/>
          <w:szCs w:val="32"/>
          <w:shd w:val="clear" w:color="auto" w:fill="FFFFFF"/>
        </w:rPr>
      </w:pPr>
      <w:r>
        <w:rPr>
          <w:rFonts w:hint="eastAsia" w:ascii="方正仿宋_GBK" w:hAnsi="方正仿宋_GBK" w:eastAsia="方正仿宋_GBK" w:cs="方正仿宋_GBK"/>
          <w:color w:val="333333"/>
          <w:sz w:val="22"/>
          <w:szCs w:val="22"/>
          <w:shd w:val="clear" w:color="auto" w:fill="FFFFFF"/>
        </w:rPr>
        <w:t>见证员注意监测、统计异常情况，及时纠正合同签订延迟、泄露个人隐私等突出问题，必要时给予约谈、警示，情节严重的直接推送监管平台。</w:t>
      </w:r>
    </w:p>
    <w:p>
      <w:pPr>
        <w:pStyle w:val="7"/>
        <w:jc w:val="center"/>
        <w:rPr>
          <w:rFonts w:hint="default"/>
          <w:shd w:val="clear" w:color="auto" w:fill="FFFFFF"/>
        </w:rPr>
      </w:pPr>
      <w:bookmarkStart w:id="42" w:name="_Toc127196622"/>
      <w:r>
        <w:rPr>
          <w:shd w:val="clear" w:color="auto" w:fill="FFFFFF"/>
        </w:rPr>
        <w:t>合同公开见证登记表</w:t>
      </w:r>
      <w:bookmarkEnd w:id="42"/>
      <w:r>
        <w:rPr>
          <w:rFonts w:ascii="方正仿宋_GBK" w:hAnsi="方正仿宋_GBK" w:cs="方正仿宋_GBK"/>
          <w:color w:val="333333"/>
          <w:shd w:val="clear" w:color="auto" w:fill="FFFFFF"/>
        </w:rPr>
        <w:t>（周报）</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3344"/>
        <w:gridCol w:w="2362"/>
        <w:gridCol w:w="2362"/>
        <w:gridCol w:w="3152"/>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日期</w:t>
            </w:r>
          </w:p>
        </w:tc>
        <w:tc>
          <w:tcPr>
            <w:tcW w:w="3344"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项目名称</w:t>
            </w:r>
          </w:p>
        </w:tc>
        <w:tc>
          <w:tcPr>
            <w:tcW w:w="2362"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中标单位</w:t>
            </w:r>
          </w:p>
        </w:tc>
        <w:tc>
          <w:tcPr>
            <w:tcW w:w="2362"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代理机构</w:t>
            </w:r>
          </w:p>
        </w:tc>
        <w:tc>
          <w:tcPr>
            <w:tcW w:w="3152"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异常情况</w:t>
            </w:r>
          </w:p>
        </w:tc>
        <w:tc>
          <w:tcPr>
            <w:tcW w:w="1574"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bl>
    <w:p>
      <w:pPr>
        <w:pStyle w:val="32"/>
        <w:numPr>
          <w:ilvl w:val="2"/>
          <w:numId w:val="0"/>
        </w:numPr>
        <w:rPr>
          <w:rFonts w:ascii="方正仿宋_GBK" w:hAnsi="方正仿宋_GBK" w:eastAsia="方正仿宋_GBK" w:cs="方正仿宋_GBK"/>
          <w:color w:val="333333"/>
          <w:sz w:val="32"/>
          <w:szCs w:val="32"/>
          <w:shd w:val="clear" w:color="auto" w:fill="FFFFFF"/>
        </w:rPr>
        <w:sectPr>
          <w:pgSz w:w="16838" w:h="11906" w:orient="landscape"/>
          <w:pgMar w:top="1800" w:right="1440" w:bottom="1800" w:left="1440" w:header="851" w:footer="992" w:gutter="0"/>
          <w:cols w:space="425" w:num="1"/>
          <w:docGrid w:type="lines" w:linePitch="312" w:charSpace="0"/>
        </w:sectPr>
      </w:pPr>
      <w:r>
        <w:rPr>
          <w:rFonts w:hint="eastAsia" w:ascii="方正仿宋_GBK" w:hAnsi="方正仿宋_GBK" w:eastAsia="方正仿宋_GBK" w:cs="方正仿宋_GBK"/>
          <w:color w:val="333333"/>
          <w:sz w:val="24"/>
          <w:szCs w:val="24"/>
          <w:shd w:val="clear" w:color="auto" w:fill="FFFFFF"/>
        </w:rPr>
        <w:t>“异常情况”实行登记制，见证员应统计合同公开见证过程中存在的各类异常情况，为漏洞堵塞、政策制定（调整）提供数据支撑。</w:t>
      </w:r>
    </w:p>
    <w:p>
      <w:pPr>
        <w:spacing w:line="600" w:lineRule="exact"/>
        <w:jc w:val="center"/>
        <w:rPr>
          <w:rFonts w:ascii="宋体" w:hAnsi="宋体" w:eastAsia="方正仿宋_GBK" w:cs="Times New Roman"/>
          <w:b/>
          <w:bCs/>
          <w:kern w:val="0"/>
          <w:sz w:val="32"/>
          <w:szCs w:val="28"/>
          <w:shd w:val="clear" w:color="auto" w:fill="FFFFFF"/>
        </w:rPr>
      </w:pPr>
      <w:r>
        <w:rPr>
          <w:rFonts w:hint="eastAsia" w:ascii="宋体" w:hAnsi="宋体" w:eastAsia="方正仿宋_GBK" w:cs="Times New Roman"/>
          <w:b/>
          <w:bCs/>
          <w:kern w:val="0"/>
          <w:sz w:val="32"/>
          <w:szCs w:val="28"/>
          <w:shd w:val="clear" w:color="auto" w:fill="FFFFFF"/>
        </w:rPr>
        <w:t>合同公开专报</w:t>
      </w:r>
    </w:p>
    <w:p>
      <w:pPr>
        <w:spacing w:line="600" w:lineRule="exact"/>
        <w:ind w:firstLine="3640" w:firstLineChars="1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（时间）</w:t>
      </w: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市政务局：</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根据《安徽省发展改革委关于印发招投标领域营商环境季度评议细则意见的通知》及《关于进一步规范合同和履约信息公开等工作的通知》，现将新增及结余合同公开项目信息专项呈报，请给予调度、督办。</w:t>
      </w:r>
    </w:p>
    <w:p>
      <w:pPr>
        <w:spacing w:line="600" w:lineRule="exact"/>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工程25日、采购7个工作日预警</w:t>
      </w:r>
    </w:p>
    <w:p>
      <w:pPr>
        <w:spacing w:line="600" w:lineRule="exact"/>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新增</w:t>
      </w: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结余</w:t>
      </w:r>
    </w:p>
    <w:p>
      <w:pPr>
        <w:spacing w:line="600" w:lineRule="exact"/>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工程30日、采购10个工作日预警</w:t>
      </w:r>
    </w:p>
    <w:p>
      <w:pPr>
        <w:spacing w:line="600" w:lineRule="exact"/>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新增</w:t>
      </w: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结余</w:t>
      </w:r>
    </w:p>
    <w:p>
      <w:pPr>
        <w:pStyle w:val="6"/>
        <w:rPr>
          <w:rFonts w:ascii="方正仿宋_GBK" w:hAnsi="方正仿宋_GBK" w:eastAsia="方正仿宋_GBK" w:cs="方正仿宋_GBK"/>
          <w:color w:val="333333"/>
          <w:shd w:val="clear" w:color="auto" w:fill="FFFFFF"/>
        </w:rPr>
      </w:pPr>
    </w:p>
    <w:p>
      <w:pPr>
        <w:rPr>
          <w:rFonts w:ascii="方正仿宋_GBK" w:hAnsi="方正仿宋_GBK" w:eastAsia="方正仿宋_GBK" w:cs="方正仿宋_GBK"/>
          <w:color w:val="333333"/>
          <w:shd w:val="clear" w:color="auto" w:fill="FFFFFF"/>
        </w:rPr>
      </w:pPr>
    </w:p>
    <w:p>
      <w:pPr>
        <w:pStyle w:val="2"/>
        <w:ind w:firstLine="560"/>
      </w:pPr>
    </w:p>
    <w:p>
      <w:pPr>
        <w:pStyle w:val="6"/>
        <w:jc w:val="center"/>
        <w:rPr>
          <w:rFonts w:ascii="方正仿宋_GBK" w:hAnsi="方正仿宋_GBK" w:eastAsia="方正仿宋_GBK" w:cs="方正仿宋_GBK"/>
          <w:color w:val="333333"/>
          <w:shd w:val="clear" w:color="auto" w:fill="FFFFFF"/>
        </w:rPr>
      </w:pPr>
      <w:bookmarkStart w:id="43" w:name="_Toc127196623"/>
      <w:r>
        <w:rPr>
          <w:rFonts w:hint="eastAsia"/>
          <w:shd w:val="clear" w:color="auto" w:fill="FFFFFF"/>
        </w:rPr>
        <w:t>重点项目见证</w:t>
      </w:r>
      <w:bookmarkEnd w:id="43"/>
    </w:p>
    <w:p>
      <w:pPr>
        <w:pStyle w:val="14"/>
        <w:widowControl/>
        <w:spacing w:before="150"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1.范围  本中心按照比例确定的重点监测项目的开评标现场见证。</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流程  确定重点见证项目目录表→开标现场见证→评标现场“一对一”全程音视频见证。</w:t>
      </w:r>
    </w:p>
    <w:p>
      <w:pPr>
        <w:pStyle w:val="14"/>
        <w:widowControl/>
        <w:spacing w:beforeAutospacing="0" w:afterAutospacing="0" w:line="402"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标准</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lang w:val="en-US" w:eastAsia="zh-CN"/>
        </w:rPr>
        <w:t>3.1</w:t>
      </w:r>
      <w:r>
        <w:rPr>
          <w:rFonts w:hint="eastAsia" w:ascii="方正仿宋_GBK" w:hAnsi="方正仿宋_GBK" w:eastAsia="方正仿宋_GBK" w:cs="方正仿宋_GBK"/>
          <w:color w:val="333333"/>
          <w:kern w:val="0"/>
          <w:sz w:val="32"/>
          <w:szCs w:val="32"/>
          <w:shd w:val="clear" w:color="auto" w:fill="FFFFFF"/>
        </w:rPr>
        <w:t>重点见证项目的确定  重点项目指市级重大项目、大数据筛选存在问题的项目、行政监督管理部门反馈问题类型较多的项目、考核评价排名靠后的中介服务机构代理的项目、中介服务机构首次代理进场的项目等。每周按照项目总数20%的比例确定重点见证项目，建立重点监测项目见证汇总表</w:t>
      </w:r>
      <w:r>
        <w:rPr>
          <w:rFonts w:hint="eastAsia" w:ascii="方正仿宋_GBK" w:hAnsi="方正仿宋_GBK" w:eastAsia="方正仿宋_GBK" w:cs="方正仿宋_GBK"/>
          <w:color w:val="333333"/>
          <w:kern w:val="0"/>
          <w:sz w:val="32"/>
          <w:szCs w:val="32"/>
          <w:shd w:val="clear" w:color="auto" w:fill="FFFFFF"/>
          <w:lang w:eastAsia="zh-CN"/>
        </w:rPr>
        <w:t>。</w:t>
      </w:r>
    </w:p>
    <w:p>
      <w:pPr>
        <w:pStyle w:val="31"/>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val="en-US" w:eastAsia="zh-CN"/>
        </w:rPr>
        <w:t>3.2</w:t>
      </w:r>
      <w:r>
        <w:rPr>
          <w:rFonts w:hint="eastAsia" w:ascii="方正仿宋_GBK" w:hAnsi="方正仿宋_GBK" w:eastAsia="方正仿宋_GBK" w:cs="方正仿宋_GBK"/>
          <w:color w:val="333333"/>
          <w:kern w:val="0"/>
          <w:sz w:val="32"/>
          <w:szCs w:val="32"/>
          <w:shd w:val="clear" w:color="auto" w:fill="FFFFFF"/>
        </w:rPr>
        <w:t>现场见证  重点项目见证员按时到岗，全程跟踪项目开评标过程，重点收集、记录、转交涉及招标代理机构、招标人、市场竞争主体等违规违法行为，标记违规行为音视频时间节点，做好现场一般性不合规行为的提醒、纠正。</w:t>
      </w:r>
    </w:p>
    <w:p>
      <w:pPr>
        <w:pStyle w:val="31"/>
        <w:ind w:firstLine="640" w:firstLineChars="200"/>
        <w:rPr>
          <w:rFonts w:ascii="方正仿宋_GBK" w:hAnsi="方正仿宋_GBK" w:eastAsia="方正仿宋_GBK" w:cs="方正仿宋_GBK"/>
          <w:color w:val="333333"/>
          <w:kern w:val="0"/>
          <w:sz w:val="32"/>
          <w:szCs w:val="32"/>
          <w:shd w:val="clear" w:color="auto" w:fill="FFFFFF"/>
        </w:rPr>
        <w:sectPr>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color w:val="333333"/>
          <w:kern w:val="0"/>
          <w:sz w:val="32"/>
          <w:szCs w:val="32"/>
          <w:shd w:val="clear" w:color="auto" w:fill="FFFFFF"/>
          <w:lang w:val="en-US" w:eastAsia="zh-CN"/>
        </w:rPr>
        <w:t>3.3</w:t>
      </w:r>
      <w:r>
        <w:rPr>
          <w:rFonts w:hint="eastAsia" w:ascii="方正仿宋_GBK" w:hAnsi="方正仿宋_GBK" w:eastAsia="方正仿宋_GBK" w:cs="方正仿宋_GBK"/>
          <w:color w:val="333333"/>
          <w:kern w:val="0"/>
          <w:sz w:val="32"/>
          <w:szCs w:val="32"/>
          <w:shd w:val="clear" w:color="auto" w:fill="FFFFFF"/>
        </w:rPr>
        <w:t>重点项目见证员按照AB岗工作制，严格遵守相关作息要求，午间和隔夜项目见证相对独立进行，全程监测评审音视频。</w:t>
      </w:r>
    </w:p>
    <w:p>
      <w:pPr>
        <w:pStyle w:val="7"/>
        <w:jc w:val="center"/>
        <w:rPr>
          <w:rFonts w:hint="default"/>
        </w:rPr>
      </w:pPr>
      <w:bookmarkStart w:id="44" w:name="_Toc127196624"/>
      <w:r>
        <w:t>重点项目见证汇总表</w:t>
      </w:r>
      <w:bookmarkEnd w:id="44"/>
    </w:p>
    <w:tbl>
      <w:tblPr>
        <w:tblStyle w:val="15"/>
        <w:tblW w:w="14457" w:type="dxa"/>
        <w:tblInd w:w="93" w:type="dxa"/>
        <w:tblLayout w:type="fixed"/>
        <w:tblCellMar>
          <w:top w:w="0" w:type="dxa"/>
          <w:left w:w="108" w:type="dxa"/>
          <w:bottom w:w="0" w:type="dxa"/>
          <w:right w:w="108" w:type="dxa"/>
        </w:tblCellMar>
      </w:tblPr>
      <w:tblGrid>
        <w:gridCol w:w="464"/>
        <w:gridCol w:w="2098"/>
        <w:gridCol w:w="1575"/>
        <w:gridCol w:w="1260"/>
        <w:gridCol w:w="810"/>
        <w:gridCol w:w="1440"/>
        <w:gridCol w:w="930"/>
        <w:gridCol w:w="915"/>
        <w:gridCol w:w="1455"/>
        <w:gridCol w:w="830"/>
        <w:gridCol w:w="690"/>
        <w:gridCol w:w="1315"/>
        <w:gridCol w:w="675"/>
      </w:tblGrid>
      <w:tr>
        <w:tblPrEx>
          <w:tblCellMar>
            <w:top w:w="0" w:type="dxa"/>
            <w:left w:w="108" w:type="dxa"/>
            <w:bottom w:w="0" w:type="dxa"/>
            <w:right w:w="108" w:type="dxa"/>
          </w:tblCellMar>
        </w:tblPrEx>
        <w:trPr>
          <w:trHeight w:val="760" w:hRule="atLeast"/>
        </w:trPr>
        <w:tc>
          <w:tcPr>
            <w:tcW w:w="14457"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统计周期：                    ~</w:t>
            </w:r>
          </w:p>
        </w:tc>
      </w:tr>
      <w:tr>
        <w:tblPrEx>
          <w:tblCellMar>
            <w:top w:w="0" w:type="dxa"/>
            <w:left w:w="108" w:type="dxa"/>
            <w:bottom w:w="0" w:type="dxa"/>
            <w:right w:w="108" w:type="dxa"/>
          </w:tblCellMar>
        </w:tblPrEx>
        <w:trPr>
          <w:trHeight w:val="1506"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序号</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项目名称</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招标（采购）</w:t>
            </w:r>
          </w:p>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单位</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代理</w:t>
            </w:r>
          </w:p>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公司</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开标室</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招标采购</w:t>
            </w:r>
          </w:p>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方式</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控制价</w:t>
            </w:r>
          </w:p>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（万元）</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开标</w:t>
            </w:r>
          </w:p>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时间</w:t>
            </w: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开标异常情况</w:t>
            </w:r>
          </w:p>
          <w:p>
            <w:pPr>
              <w:widowControl/>
              <w:jc w:val="center"/>
              <w:textAlignment w:val="center"/>
            </w:pPr>
            <w:r>
              <w:rPr>
                <w:rFonts w:hint="eastAsia" w:ascii="方正仿宋_GBK" w:hAnsi="方正仿宋_GBK" w:eastAsia="方正仿宋_GBK" w:cs="方正仿宋_GBK"/>
                <w:color w:val="333333"/>
                <w:kern w:val="0"/>
                <w:sz w:val="20"/>
                <w:szCs w:val="20"/>
                <w:shd w:val="clear" w:color="auto" w:fill="FFFFFF"/>
              </w:rPr>
              <w:t>及处理</w:t>
            </w: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评标室</w:t>
            </w: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评审结束时间</w:t>
            </w: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评审异常情况及处理</w:t>
            </w: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备注</w:t>
            </w: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1</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2</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3</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4</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r>
    </w:tbl>
    <w:p>
      <w:pPr>
        <w:pStyle w:val="31"/>
        <w:ind w:firstLine="0"/>
        <w:rPr>
          <w:rFonts w:ascii="方正仿宋_GBK" w:hAnsi="方正仿宋_GBK" w:eastAsia="方正仿宋_GBK" w:cs="方正仿宋_GBK"/>
          <w:color w:val="333333"/>
          <w:kern w:val="0"/>
          <w:sz w:val="32"/>
          <w:szCs w:val="32"/>
          <w:shd w:val="clear" w:color="auto" w:fill="FFFFFF"/>
        </w:rPr>
        <w:sectPr>
          <w:pgSz w:w="16838" w:h="11906" w:orient="landscape"/>
          <w:pgMar w:top="1800" w:right="1440" w:bottom="1800" w:left="1440" w:header="851" w:footer="992" w:gutter="0"/>
          <w:cols w:space="425" w:num="1"/>
          <w:docGrid w:type="lines" w:linePitch="312" w:charSpace="0"/>
        </w:sectPr>
      </w:pPr>
    </w:p>
    <w:p>
      <w:pPr>
        <w:pStyle w:val="6"/>
        <w:jc w:val="center"/>
        <w:rPr>
          <w:shd w:val="clear" w:color="auto" w:fill="FFFFFF"/>
        </w:rPr>
      </w:pPr>
      <w:bookmarkStart w:id="45" w:name="_Toc121741992"/>
      <w:bookmarkStart w:id="46" w:name="_Toc127196625"/>
      <w:r>
        <w:rPr>
          <w:rFonts w:hint="eastAsia"/>
          <w:shd w:val="clear" w:color="auto" w:fill="FFFFFF"/>
        </w:rPr>
        <w:t>监控室管理制度</w:t>
      </w:r>
      <w:bookmarkEnd w:id="45"/>
      <w:bookmarkEnd w:id="46"/>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1.监控人员必须具有高度的工作责任心，认真履行职责，及时掌握各种监控信息;发现事故、违规行为及其他异常情况应立即上报项目见证科，并即时通知上级领导。</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2.监控人员分为日常班、午间班和夜班，日常班9 : 00-17:00（其中午间班12:00-14:00），夜班17:00至市本级项目评审结束或评审系统关闭</w:t>
      </w:r>
      <w:r>
        <w:rPr>
          <w:rFonts w:hint="eastAsia" w:ascii="方正仿宋_GBK" w:hAnsi="方正仿宋_GBK" w:eastAsia="方正仿宋_GBK" w:cs="方正仿宋_GBK"/>
          <w:color w:val="333333"/>
          <w:kern w:val="0"/>
          <w:sz w:val="28"/>
          <w:szCs w:val="28"/>
          <w:shd w:val="clear" w:color="auto" w:fill="FFFFFF"/>
          <w:lang w:eastAsia="zh-CN"/>
        </w:rPr>
        <w:t>，一般最迟不晚于</w:t>
      </w:r>
      <w:r>
        <w:rPr>
          <w:rFonts w:hint="eastAsia" w:ascii="方正仿宋_GBK" w:hAnsi="方正仿宋_GBK" w:eastAsia="方正仿宋_GBK" w:cs="方正仿宋_GBK"/>
          <w:color w:val="333333"/>
          <w:kern w:val="0"/>
          <w:sz w:val="28"/>
          <w:szCs w:val="28"/>
          <w:shd w:val="clear" w:color="auto" w:fill="FFFFFF"/>
          <w:lang w:val="en-US" w:eastAsia="zh-CN"/>
        </w:rPr>
        <w:t>21:00</w:t>
      </w:r>
      <w:r>
        <w:rPr>
          <w:rFonts w:hint="eastAsia" w:ascii="方正仿宋_GBK" w:hAnsi="方正仿宋_GBK" w:eastAsia="方正仿宋_GBK" w:cs="方正仿宋_GBK"/>
          <w:color w:val="333333"/>
          <w:kern w:val="0"/>
          <w:sz w:val="28"/>
          <w:szCs w:val="28"/>
          <w:shd w:val="clear" w:color="auto" w:fill="FFFFFF"/>
        </w:rPr>
        <w:t>。</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3.当日开标项目监管人员及招标代理中介机构工作人员允许进入监控室，负责开评标区域内线电话接听及相关事项处理。</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4.各县级国有投资依法必须招标的各类新建、改建、扩建等工程建设(包括土地整理项目)或其他借用场地在市级平台开评标的，代理机构应在开标前将项目监管人员及社会监督员</w:t>
      </w:r>
      <w:r>
        <w:rPr>
          <w:rFonts w:hint="eastAsia" w:ascii="方正仿宋_GBK" w:hAnsi="方正仿宋_GBK" w:eastAsia="方正仿宋_GBK" w:cs="方正仿宋_GBK"/>
          <w:color w:val="333333"/>
          <w:kern w:val="0"/>
          <w:sz w:val="28"/>
          <w:szCs w:val="28"/>
          <w:shd w:val="clear" w:color="auto" w:fill="FFFFFF"/>
          <w:lang w:val="en-US" w:eastAsia="zh-CN"/>
        </w:rPr>
        <w:t>(如有）</w:t>
      </w:r>
      <w:r>
        <w:rPr>
          <w:rFonts w:hint="eastAsia" w:ascii="方正仿宋_GBK" w:hAnsi="方正仿宋_GBK" w:eastAsia="方正仿宋_GBK" w:cs="方正仿宋_GBK"/>
          <w:color w:val="333333"/>
          <w:kern w:val="0"/>
          <w:sz w:val="28"/>
          <w:szCs w:val="28"/>
          <w:shd w:val="clear" w:color="auto" w:fill="FFFFFF"/>
        </w:rPr>
        <w:t>相关信息递交监控室，否则该项目不得开标，并对代理机构做动态</w:t>
      </w:r>
      <w:r>
        <w:rPr>
          <w:rFonts w:hint="eastAsia" w:ascii="方正仿宋_GBK" w:hAnsi="方正仿宋_GBK" w:eastAsia="方正仿宋_GBK" w:cs="方正仿宋_GBK"/>
          <w:color w:val="333333"/>
          <w:kern w:val="0"/>
          <w:sz w:val="28"/>
          <w:szCs w:val="28"/>
          <w:shd w:val="clear" w:color="auto" w:fill="FFFFFF"/>
          <w:lang w:eastAsia="zh-CN"/>
        </w:rPr>
        <w:t>评价</w:t>
      </w:r>
      <w:r>
        <w:rPr>
          <w:rFonts w:hint="eastAsia" w:ascii="方正仿宋_GBK" w:hAnsi="方正仿宋_GBK" w:eastAsia="方正仿宋_GBK" w:cs="方正仿宋_GBK"/>
          <w:color w:val="333333"/>
          <w:kern w:val="0"/>
          <w:sz w:val="28"/>
          <w:szCs w:val="28"/>
          <w:shd w:val="clear" w:color="auto" w:fill="FFFFFF"/>
        </w:rPr>
        <w:t>,抄送市政务服务管理局。</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5.进入监控室后，应主动爱护和管理好各项设备，日常班到岗后，负责室内卫生清洁，密切注意监控设备运行状况，保证监控设备系统的正常运作，发现设备出现异常和故障要立即联系信息技术科给予维护，并即时报告</w:t>
      </w:r>
      <w:r>
        <w:rPr>
          <w:rFonts w:hint="eastAsia" w:ascii="方正仿宋_GBK" w:hAnsi="方正仿宋_GBK" w:eastAsia="方正仿宋_GBK" w:cs="方正仿宋_GBK"/>
          <w:color w:val="333333"/>
          <w:kern w:val="0"/>
          <w:sz w:val="28"/>
          <w:szCs w:val="28"/>
          <w:shd w:val="clear" w:color="auto" w:fill="FFFFFF"/>
          <w:lang w:eastAsia="zh-CN"/>
        </w:rPr>
        <w:t>在</w:t>
      </w:r>
      <w:r>
        <w:rPr>
          <w:rFonts w:hint="eastAsia" w:ascii="方正仿宋_GBK" w:hAnsi="方正仿宋_GBK" w:eastAsia="方正仿宋_GBK" w:cs="方正仿宋_GBK"/>
          <w:color w:val="333333"/>
          <w:kern w:val="0"/>
          <w:sz w:val="28"/>
          <w:szCs w:val="28"/>
          <w:shd w:val="clear" w:color="auto" w:fill="FFFFFF"/>
          <w:lang w:val="en-US" w:eastAsia="zh-CN"/>
        </w:rPr>
        <w:t>/值班</w:t>
      </w:r>
      <w:r>
        <w:rPr>
          <w:rFonts w:hint="eastAsia" w:ascii="方正仿宋_GBK" w:hAnsi="方正仿宋_GBK" w:eastAsia="方正仿宋_GBK" w:cs="方正仿宋_GBK"/>
          <w:color w:val="333333"/>
          <w:kern w:val="0"/>
          <w:sz w:val="28"/>
          <w:szCs w:val="28"/>
          <w:shd w:val="clear" w:color="auto" w:fill="FFFFFF"/>
        </w:rPr>
        <w:t>领导;非信息技术科工作人员或其不在设备维修现场严禁任何人摆弄监控设备。</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6. 监控人员不得擅自脱岗，午间班及夜班人员未经允许不得随意代班、调班;严格按规定时间交接班，交接班期间，日常班监控人员须将当班情况和未结束评标情况向接岗同志交代清楚;特殊情况下不能按时接班的要提前通知在值人员，交班人在接班人未到岗时不</w:t>
      </w:r>
      <w:r>
        <w:rPr>
          <w:rFonts w:hint="eastAsia" w:ascii="方正仿宋_GBK" w:hAnsi="方正仿宋_GBK" w:eastAsia="方正仿宋_GBK" w:cs="方正仿宋_GBK"/>
          <w:color w:val="333333"/>
          <w:kern w:val="0"/>
          <w:sz w:val="28"/>
          <w:szCs w:val="28"/>
          <w:shd w:val="clear" w:color="auto" w:fill="FFFFFF"/>
          <w:lang w:eastAsia="zh-CN"/>
        </w:rPr>
        <w:t>得</w:t>
      </w:r>
      <w:r>
        <w:rPr>
          <w:rFonts w:hint="eastAsia" w:ascii="方正仿宋_GBK" w:hAnsi="方正仿宋_GBK" w:eastAsia="方正仿宋_GBK" w:cs="方正仿宋_GBK"/>
          <w:color w:val="333333"/>
          <w:kern w:val="0"/>
          <w:sz w:val="28"/>
          <w:szCs w:val="28"/>
          <w:shd w:val="clear" w:color="auto" w:fill="FFFFFF"/>
        </w:rPr>
        <w:t>下班。</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7.监控人员严禁在监控室干与工作无关的事情，如打私人电话、玩游戏、听音乐等;不得在监控室内会客或进行娱乐活动;按照相关规定详细、规范地做好值班记录，不得在值班记录本上乱写乱画;保持监控室干净整洁，禁止带零食进入</w:t>
      </w:r>
      <w:r>
        <w:rPr>
          <w:rFonts w:hint="eastAsia" w:ascii="方正仿宋_GBK" w:hAnsi="方正仿宋_GBK" w:eastAsia="方正仿宋_GBK" w:cs="方正仿宋_GBK"/>
          <w:color w:val="333333"/>
          <w:kern w:val="0"/>
          <w:sz w:val="28"/>
          <w:szCs w:val="28"/>
          <w:shd w:val="clear" w:color="auto" w:fill="FFFFFF"/>
          <w:lang w:eastAsia="zh-CN"/>
        </w:rPr>
        <w:t>监控</w:t>
      </w:r>
      <w:r>
        <w:rPr>
          <w:rFonts w:hint="eastAsia" w:ascii="方正仿宋_GBK" w:hAnsi="方正仿宋_GBK" w:eastAsia="方正仿宋_GBK" w:cs="方正仿宋_GBK"/>
          <w:color w:val="333333"/>
          <w:kern w:val="0"/>
          <w:sz w:val="28"/>
          <w:szCs w:val="28"/>
          <w:shd w:val="clear" w:color="auto" w:fill="FFFFFF"/>
        </w:rPr>
        <w:t>室内。</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8.监控室内禁止吸烟，严禁大声喧哗，水杯应放置在远离电器设备的地方;严禁携带易燃、易爆、有毒的物品进入监控室;严禁使用有干扰仪器正常运行的电子设备和使用电炉、电饭堡等电器。</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9.监控人员务必保障自身通信畅通，确保内线电话正常连通，规范内线电话使用。</w:t>
      </w:r>
    </w:p>
    <w:p>
      <w:pPr>
        <w:pStyle w:val="31"/>
        <w:ind w:firstLine="0"/>
        <w:jc w:val="left"/>
        <w:rPr>
          <w:rFonts w:hint="eastAsia" w:ascii="方正仿宋_GBK" w:hAnsi="方正仿宋_GBK" w:eastAsia="方正仿宋_GBK" w:cs="方正仿宋_GBK"/>
          <w:color w:val="333333"/>
          <w:kern w:val="0"/>
          <w:sz w:val="28"/>
          <w:szCs w:val="28"/>
          <w:shd w:val="clear" w:color="auto" w:fill="FFFFFF"/>
          <w:lang w:eastAsia="zh-CN"/>
        </w:rPr>
        <w:sectPr>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color w:val="333333"/>
          <w:kern w:val="0"/>
          <w:sz w:val="28"/>
          <w:szCs w:val="28"/>
          <w:shd w:val="clear" w:color="auto" w:fill="FFFFFF"/>
        </w:rPr>
        <w:t>10.进入监控室,应遵守保密</w:t>
      </w:r>
      <w:r>
        <w:rPr>
          <w:rFonts w:hint="eastAsia" w:ascii="方正仿宋_GBK" w:hAnsi="方正仿宋_GBK" w:eastAsia="方正仿宋_GBK" w:cs="方正仿宋_GBK"/>
          <w:color w:val="333333"/>
          <w:kern w:val="0"/>
          <w:sz w:val="28"/>
          <w:szCs w:val="28"/>
          <w:shd w:val="clear" w:color="auto" w:fill="FFFFFF"/>
          <w:lang w:eastAsia="zh-CN"/>
        </w:rPr>
        <w:t>规定</w:t>
      </w:r>
      <w:r>
        <w:rPr>
          <w:rFonts w:hint="eastAsia" w:ascii="方正仿宋_GBK" w:hAnsi="方正仿宋_GBK" w:eastAsia="方正仿宋_GBK" w:cs="方正仿宋_GBK"/>
          <w:color w:val="333333"/>
          <w:kern w:val="0"/>
          <w:sz w:val="28"/>
          <w:szCs w:val="28"/>
          <w:shd w:val="clear" w:color="auto" w:fill="FFFFFF"/>
        </w:rPr>
        <w:t>，不得对监控画面进行录像、拍照，不得在监控室以外的场所议论有关录像的内容，其他人员不得进入监控室</w:t>
      </w:r>
      <w:r>
        <w:rPr>
          <w:rFonts w:hint="eastAsia" w:ascii="方正仿宋_GBK" w:hAnsi="方正仿宋_GBK" w:eastAsia="方正仿宋_GBK" w:cs="方正仿宋_GBK"/>
          <w:color w:val="333333"/>
          <w:kern w:val="0"/>
          <w:sz w:val="28"/>
          <w:szCs w:val="28"/>
          <w:shd w:val="clear" w:color="auto" w:fill="FFFFFF"/>
          <w:lang w:eastAsia="zh-CN"/>
        </w:rPr>
        <w:t>。</w:t>
      </w:r>
    </w:p>
    <w:p>
      <w:pPr>
        <w:pStyle w:val="6"/>
        <w:jc w:val="center"/>
        <w:rPr>
          <w:rFonts w:hint="eastAsia" w:eastAsia="仿宋"/>
          <w:lang w:eastAsia="zh-CN"/>
        </w:rPr>
      </w:pPr>
      <w:bookmarkStart w:id="47" w:name="_Toc127196626"/>
      <w:r>
        <w:rPr>
          <w:rFonts w:hint="eastAsia"/>
          <w:shd w:val="clear" w:color="auto" w:fill="FFFFFF"/>
        </w:rPr>
        <w:t>评标专家日常考核记录表</w:t>
      </w:r>
      <w:bookmarkEnd w:id="47"/>
      <w:r>
        <w:rPr>
          <w:rFonts w:hint="eastAsia"/>
          <w:shd w:val="clear" w:color="auto" w:fill="FFFFFF"/>
          <w:lang w:eastAsia="zh-CN"/>
        </w:rPr>
        <w:t>（参考）</w:t>
      </w:r>
    </w:p>
    <w:tbl>
      <w:tblPr>
        <w:tblStyle w:val="15"/>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123"/>
        <w:gridCol w:w="1791"/>
        <w:gridCol w:w="1062"/>
        <w:gridCol w:w="1179"/>
        <w:gridCol w:w="1168"/>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项目名称</w:t>
            </w:r>
          </w:p>
        </w:tc>
        <w:tc>
          <w:tcPr>
            <w:tcW w:w="2853"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179"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项目编号</w:t>
            </w:r>
          </w:p>
        </w:tc>
        <w:tc>
          <w:tcPr>
            <w:tcW w:w="3209"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评标时间</w:t>
            </w:r>
          </w:p>
        </w:tc>
        <w:tc>
          <w:tcPr>
            <w:tcW w:w="2853"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评标地点</w:t>
            </w: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专家姓名</w:t>
            </w: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是否组长</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优秀</w:t>
            </w: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合格</w:t>
            </w: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2</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3</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4</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5</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6</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“优秀”专家的行为（勾选）</w:t>
            </w:r>
          </w:p>
        </w:tc>
        <w:tc>
          <w:tcPr>
            <w:tcW w:w="7241" w:type="dxa"/>
            <w:gridSpan w:val="5"/>
          </w:tcPr>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业务精通，专业技术水平优异；</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能主动发现并报告违规行为和异常现象经查证属实；</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针对招标文件或开评标环节提出合理化意见建议并被采纳；</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担任组长时以身作则，主动带领其他评委严格按程序规范、高效评审；</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其他表现优秀的情形。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“较差”专家的行为（勾选）</w:t>
            </w:r>
          </w:p>
        </w:tc>
        <w:tc>
          <w:tcPr>
            <w:tcW w:w="7241" w:type="dxa"/>
            <w:gridSpan w:val="5"/>
          </w:tcPr>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无故迟到或中途退场；不遵守回避制度；委托他人替代或受托代替他人出席评标会；</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未按规定将通讯工具上交统一保管；</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在评标途中擅自进入其他评标室、或评标工作未结束前离开评标区；不认真、客观、公正评审或评审结论出现重大偏差；</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发现投标文件有重大偏差后未作废标处理；发表倾向性意见或干预他人评标；</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不按照评标标准和方法评审；专业素质不能够满足评审需求；</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评标打分被判定为异常性评分，或敷衍了事打分，扣分不说明理由；评标结束后，将评审过程涉及应当保密的书面(电子)资料或数据带离评标区；</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在评标过程中，以任何明示或暗示的方式诱导投标人以澄清、说明或补充与其投标文件原意不同的新意见；</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对自己的评标意见不负责任，发表与个人书面评标意见相反的言辞；</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sym w:font="Wingdings 2" w:char="00A3"/>
            </w:r>
            <w:r>
              <w:rPr>
                <w:rFonts w:hint="eastAsia" w:ascii="方正仿宋_GBK" w:hAnsi="方正仿宋_GBK" w:eastAsia="方正仿宋_GBK" w:cs="方正仿宋_GBK"/>
                <w:color w:val="333333"/>
                <w:kern w:val="0"/>
                <w:szCs w:val="21"/>
                <w:shd w:val="clear" w:color="auto" w:fill="FFFFFF"/>
              </w:rPr>
              <w:t xml:space="preserve">  评审过程中明知有违法、违规行为和不正常现象不及时报告；</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拒绝在书面评标报告上签字，索要额外评标劳务费；</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不服从招投标监管机构管理；</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其他表现较差的情形。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社会监督员意见</w:t>
            </w:r>
          </w:p>
        </w:tc>
        <w:tc>
          <w:tcPr>
            <w:tcW w:w="7241" w:type="dxa"/>
            <w:gridSpan w:val="5"/>
          </w:tcPr>
          <w:p>
            <w:pPr>
              <w:spacing w:line="0" w:lineRule="atLeast"/>
              <w:jc w:val="center"/>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备注：该项目无社会监督员的由业主代表或代理机构签署意见。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项目监管</w:t>
            </w:r>
            <w:r>
              <w:rPr>
                <w:rFonts w:hint="eastAsia" w:ascii="方正仿宋_GBK" w:hAnsi="方正仿宋_GBK" w:eastAsia="方正仿宋_GBK" w:cs="方正仿宋_GBK"/>
                <w:color w:val="333333"/>
                <w:kern w:val="0"/>
                <w:szCs w:val="21"/>
                <w:shd w:val="clear" w:color="auto" w:fill="FFFFFF"/>
                <w:lang w:eastAsia="zh-CN"/>
              </w:rPr>
              <w:t>部门</w:t>
            </w:r>
            <w:r>
              <w:rPr>
                <w:rFonts w:hint="eastAsia" w:ascii="方正仿宋_GBK" w:hAnsi="方正仿宋_GBK" w:eastAsia="方正仿宋_GBK" w:cs="方正仿宋_GBK"/>
                <w:color w:val="333333"/>
                <w:kern w:val="0"/>
                <w:szCs w:val="21"/>
                <w:shd w:val="clear" w:color="auto" w:fill="FFFFFF"/>
              </w:rPr>
              <w:t>意见</w:t>
            </w:r>
          </w:p>
        </w:tc>
        <w:tc>
          <w:tcPr>
            <w:tcW w:w="7241" w:type="dxa"/>
            <w:gridSpan w:val="5"/>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代理机构</w:t>
            </w:r>
          </w:p>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意见</w:t>
            </w:r>
          </w:p>
        </w:tc>
        <w:tc>
          <w:tcPr>
            <w:tcW w:w="7241" w:type="dxa"/>
            <w:gridSpan w:val="5"/>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备注</w:t>
            </w:r>
          </w:p>
        </w:tc>
        <w:tc>
          <w:tcPr>
            <w:tcW w:w="7241" w:type="dxa"/>
            <w:gridSpan w:val="5"/>
          </w:tcPr>
          <w:p>
            <w:pPr>
              <w:spacing w:line="0" w:lineRule="atLeast"/>
              <w:rPr>
                <w:rFonts w:ascii="方正仿宋_GBK" w:hAnsi="方正仿宋_GBK" w:eastAsia="方正仿宋_GBK" w:cs="方正仿宋_GBK"/>
                <w:color w:val="333333"/>
                <w:kern w:val="0"/>
                <w:szCs w:val="21"/>
                <w:shd w:val="clear" w:color="auto" w:fill="FFFFFF"/>
              </w:rPr>
            </w:pPr>
          </w:p>
        </w:tc>
      </w:tr>
    </w:tbl>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填表说明:</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一、评标专家评价考核表须由特邀社会监督员和项目监管负责人共同完成，主要从工作态度、专业技能、评标质量以及是否自觉遵守法律、法规、规章和市政务服务管理局制定的相关规定等方面进行综合评价。与中心见证信息、其他科室业务反馈及质疑投诉、信访举报处理结果共同构成评价体系，上传电子档案系统，留档备查。</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二、评价意见共分为“优秀”、“合格”、“较差”三个标准。</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三、被评价为“优秀”或“较差”的专家须详细勾选及其在评标过程中的行为表现。</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评标现场专家有其他异常情况的，应当在“备注说明”里予以填写记录。</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下列情形全部符合的，评价为“合格”:</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1、</w:t>
      </w:r>
      <w:r>
        <w:rPr>
          <w:rFonts w:hint="eastAsia" w:ascii="方正仿宋_GBK" w:hAnsi="方正仿宋_GBK" w:eastAsia="方正仿宋_GBK" w:cs="方正仿宋_GBK"/>
          <w:color w:val="333333"/>
          <w:kern w:val="0"/>
          <w:szCs w:val="21"/>
          <w:shd w:val="clear" w:color="auto" w:fill="FFFFFF"/>
        </w:rPr>
        <w:t>自觉遵守评标回避制度，主动提出回避的；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2、</w:t>
      </w:r>
      <w:r>
        <w:rPr>
          <w:rFonts w:hint="eastAsia" w:ascii="方正仿宋_GBK" w:hAnsi="方正仿宋_GBK" w:eastAsia="方正仿宋_GBK" w:cs="方正仿宋_GBK"/>
          <w:color w:val="333333"/>
          <w:kern w:val="0"/>
          <w:szCs w:val="21"/>
          <w:shd w:val="clear" w:color="auto" w:fill="FFFFFF"/>
        </w:rPr>
        <w:t>为评审工作提供真实、可靠评审意见的；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3、自觉遵守评标工作纪律，积极主动配合项目负责人和监督员工作，不透露评标有关情况的；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4、</w:t>
      </w:r>
      <w:r>
        <w:rPr>
          <w:rFonts w:hint="eastAsia" w:ascii="方正仿宋_GBK" w:hAnsi="方正仿宋_GBK" w:eastAsia="方正仿宋_GBK" w:cs="方正仿宋_GBK"/>
          <w:color w:val="333333"/>
          <w:kern w:val="0"/>
          <w:szCs w:val="21"/>
          <w:shd w:val="clear" w:color="auto" w:fill="FFFFFF"/>
        </w:rPr>
        <w:t>在评标过程中，对违法、违规行为和不正常现象及时报告并加以制止的；评标结论未出现重大偏差或失误的；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5、积极配合市政务服务管理局对有关招标项目情况调查的；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6、掌握计算机技术，能够熟练进行电子辅助评标操作的；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8、</w:t>
      </w:r>
      <w:r>
        <w:rPr>
          <w:rFonts w:hint="eastAsia" w:ascii="方正仿宋_GBK" w:hAnsi="方正仿宋_GBK" w:eastAsia="方正仿宋_GBK" w:cs="方正仿宋_GBK"/>
          <w:color w:val="333333"/>
          <w:kern w:val="0"/>
          <w:szCs w:val="21"/>
          <w:shd w:val="clear" w:color="auto" w:fill="FFFFFF"/>
        </w:rPr>
        <w:t>自觉遵守法律、法规和市政务服务管理局相关规定的。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六、达到“合格”标准，并有下列情形之一的，评价为“优秀”：</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1、业务精通，专业技术水平优异的；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2、能主动发现并报告违规行为和异常现象经查证属实的；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3、针对招标文件或开评标环节提出合理化意见建议并被采纳的；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4、担任组长时以身作则，主动带领其他评委严格按程序规范、高效评审的；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5、其他表现优秀的。</w:t>
      </w:r>
    </w:p>
    <w:p>
      <w:pPr>
        <w:spacing w:line="0" w:lineRule="atLeast"/>
        <w:rPr>
          <w:rFonts w:hint="eastAsia"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七、有下列情形之一的，评价为“较差”:</w:t>
      </w:r>
    </w:p>
    <w:p>
      <w:pPr>
        <w:spacing w:line="0" w:lineRule="atLeast"/>
        <w:rPr>
          <w:rFonts w:hint="eastAsia"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1、</w:t>
      </w:r>
      <w:r>
        <w:rPr>
          <w:rFonts w:hint="eastAsia" w:ascii="方正仿宋_GBK" w:hAnsi="方正仿宋_GBK" w:eastAsia="方正仿宋_GBK" w:cs="方正仿宋_GBK"/>
          <w:color w:val="333333"/>
          <w:kern w:val="0"/>
          <w:szCs w:val="21"/>
          <w:shd w:val="clear" w:color="auto" w:fill="FFFFFF"/>
        </w:rPr>
        <w:t>无故迟到或中途退场的；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2、</w:t>
      </w:r>
      <w:r>
        <w:rPr>
          <w:rFonts w:hint="eastAsia" w:ascii="方正仿宋_GBK" w:hAnsi="方正仿宋_GBK" w:eastAsia="方正仿宋_GBK" w:cs="方正仿宋_GBK"/>
          <w:color w:val="333333"/>
          <w:kern w:val="0"/>
          <w:szCs w:val="21"/>
          <w:shd w:val="clear" w:color="auto" w:fill="FFFFFF"/>
        </w:rPr>
        <w:t>不遵守回避制度的；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3、委托他人替代或受托代替他人出席评标会的；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4、未按规定将通讯工具上交统一保管的；</w:t>
      </w:r>
    </w:p>
    <w:p>
      <w:pPr>
        <w:spacing w:line="0" w:lineRule="atLeast"/>
        <w:rPr>
          <w:rFonts w:hint="eastAsia"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5、在评标途中擅自进入其他评标室、或评标工作未结束前离开评标区的；</w:t>
      </w:r>
    </w:p>
    <w:p>
      <w:pPr>
        <w:spacing w:line="0" w:lineRule="atLeast"/>
        <w:rPr>
          <w:rFonts w:hint="eastAsia"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6、</w:t>
      </w:r>
      <w:r>
        <w:rPr>
          <w:rFonts w:hint="eastAsia" w:ascii="方正仿宋_GBK" w:hAnsi="方正仿宋_GBK" w:eastAsia="方正仿宋_GBK" w:cs="方正仿宋_GBK"/>
          <w:color w:val="333333"/>
          <w:kern w:val="0"/>
          <w:szCs w:val="21"/>
          <w:shd w:val="clear" w:color="auto" w:fill="FFFFFF"/>
        </w:rPr>
        <w:t>不认真、客观、公正评审或评审结论出现重大偏差的；</w:t>
      </w:r>
    </w:p>
    <w:p>
      <w:pPr>
        <w:spacing w:line="0" w:lineRule="atLeast"/>
        <w:rPr>
          <w:rFonts w:hint="eastAsia"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7、</w:t>
      </w:r>
      <w:r>
        <w:rPr>
          <w:rFonts w:hint="eastAsia" w:ascii="方正仿宋_GBK" w:hAnsi="方正仿宋_GBK" w:eastAsia="方正仿宋_GBK" w:cs="方正仿宋_GBK"/>
          <w:color w:val="333333"/>
          <w:kern w:val="0"/>
          <w:szCs w:val="21"/>
          <w:shd w:val="clear" w:color="auto" w:fill="FFFFFF"/>
        </w:rPr>
        <w:t>发现投标文件有重大偏差后未作废标处理的； </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8、</w:t>
      </w:r>
      <w:r>
        <w:rPr>
          <w:rFonts w:hint="eastAsia" w:ascii="方正仿宋_GBK" w:hAnsi="方正仿宋_GBK" w:eastAsia="方正仿宋_GBK" w:cs="方正仿宋_GBK"/>
          <w:color w:val="333333"/>
          <w:kern w:val="0"/>
          <w:szCs w:val="21"/>
          <w:shd w:val="clear" w:color="auto" w:fill="FFFFFF"/>
        </w:rPr>
        <w:t>发表倾向性意见或干预他人评标的；</w:t>
      </w:r>
    </w:p>
    <w:p>
      <w:pPr>
        <w:spacing w:line="0" w:lineRule="atLeast"/>
        <w:rPr>
          <w:rFonts w:hint="eastAsia"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9、</w:t>
      </w:r>
      <w:r>
        <w:rPr>
          <w:rFonts w:hint="eastAsia" w:ascii="方正仿宋_GBK" w:hAnsi="方正仿宋_GBK" w:eastAsia="方正仿宋_GBK" w:cs="方正仿宋_GBK"/>
          <w:color w:val="333333"/>
          <w:kern w:val="0"/>
          <w:szCs w:val="21"/>
          <w:shd w:val="clear" w:color="auto" w:fill="FFFFFF"/>
        </w:rPr>
        <w:t>不按照评标标准和方法评审的；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10、</w:t>
      </w:r>
      <w:r>
        <w:rPr>
          <w:rFonts w:hint="eastAsia" w:ascii="方正仿宋_GBK" w:hAnsi="方正仿宋_GBK" w:eastAsia="方正仿宋_GBK" w:cs="方正仿宋_GBK"/>
          <w:color w:val="333333"/>
          <w:kern w:val="0"/>
          <w:szCs w:val="21"/>
          <w:shd w:val="clear" w:color="auto" w:fill="FFFFFF"/>
        </w:rPr>
        <w:t>专业素质不能够满足评审需求的；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11、评标打分被判定为异常性评分，或敷衍了事打分，扣分不说明理由的；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12、评标结束后，将评审过程涉及应当保密的书面(电子)资料或数据带离评标区的；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13、在评标过程中，以任何明示或暗示的方式诱导投标人以澄清、说明或补充与其投标文件原意不同的新意见的；</w:t>
      </w:r>
    </w:p>
    <w:p>
      <w:pPr>
        <w:spacing w:line="0" w:lineRule="atLeast"/>
        <w:rPr>
          <w:rFonts w:hint="eastAsia"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14、对自己的评标意见不负责任，发表与个人书面评标意见相反的言辞的；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15、</w:t>
      </w:r>
      <w:r>
        <w:rPr>
          <w:rFonts w:hint="eastAsia" w:ascii="方正仿宋_GBK" w:hAnsi="方正仿宋_GBK" w:eastAsia="方正仿宋_GBK" w:cs="方正仿宋_GBK"/>
          <w:color w:val="333333"/>
          <w:kern w:val="0"/>
          <w:szCs w:val="21"/>
          <w:shd w:val="clear" w:color="auto" w:fill="FFFFFF"/>
        </w:rPr>
        <w:t>评审过程中明知有违法、违规行为和不正常现象，不及时报告的；</w:t>
      </w:r>
    </w:p>
    <w:p>
      <w:pPr>
        <w:spacing w:line="0" w:lineRule="atLeast"/>
        <w:rPr>
          <w:rFonts w:hint="eastAsia"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16、</w:t>
      </w:r>
      <w:r>
        <w:rPr>
          <w:rFonts w:hint="eastAsia" w:ascii="方正仿宋_GBK" w:hAnsi="方正仿宋_GBK" w:eastAsia="方正仿宋_GBK" w:cs="方正仿宋_GBK"/>
          <w:color w:val="333333"/>
          <w:kern w:val="0"/>
          <w:szCs w:val="21"/>
          <w:shd w:val="clear" w:color="auto" w:fill="FFFFFF"/>
        </w:rPr>
        <w:t>拒绝在书面评标报告签字，以索要额外评标劳务费的；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lang w:val="en-US" w:eastAsia="zh-CN"/>
        </w:rPr>
        <w:t>17、</w:t>
      </w:r>
      <w:r>
        <w:rPr>
          <w:rFonts w:hint="eastAsia" w:ascii="方正仿宋_GBK" w:hAnsi="方正仿宋_GBK" w:eastAsia="方正仿宋_GBK" w:cs="方正仿宋_GBK"/>
          <w:color w:val="333333"/>
          <w:kern w:val="0"/>
          <w:szCs w:val="21"/>
          <w:shd w:val="clear" w:color="auto" w:fill="FFFFFF"/>
        </w:rPr>
        <w:t>不服从招投标监管机构管理的;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18、其他表现较差的情形。</w:t>
      </w:r>
    </w:p>
    <w:p>
      <w:pPr>
        <w:spacing w:line="0" w:lineRule="atLeast"/>
        <w:rPr>
          <w:rFonts w:ascii="方正仿宋_GBK" w:hAnsi="方正仿宋_GBK" w:eastAsia="方正仿宋_GBK" w:cs="方正仿宋_GBK"/>
          <w:b/>
          <w:bCs/>
          <w:color w:val="333333"/>
          <w:kern w:val="0"/>
          <w:sz w:val="28"/>
          <w:szCs w:val="28"/>
          <w:shd w:val="clear" w:color="auto" w:fill="FFFFFF"/>
        </w:rPr>
        <w:sectPr>
          <w:pgSz w:w="11906" w:h="16838"/>
          <w:pgMar w:top="1440" w:right="1800" w:bottom="1440" w:left="1800" w:header="851" w:footer="992" w:gutter="0"/>
          <w:cols w:space="425" w:num="1"/>
          <w:docGrid w:type="lines" w:linePitch="312" w:charSpace="0"/>
        </w:sectPr>
      </w:pPr>
    </w:p>
    <w:p>
      <w:pPr>
        <w:pStyle w:val="6"/>
        <w:jc w:val="center"/>
        <w:rPr>
          <w:rFonts w:hint="eastAsia" w:eastAsia="仿宋"/>
          <w:shd w:val="clear" w:color="auto" w:fill="FFFFFF"/>
          <w:lang w:eastAsia="zh-CN"/>
        </w:rPr>
      </w:pPr>
      <w:bookmarkStart w:id="48" w:name="_Toc127196627"/>
      <w:r>
        <w:rPr>
          <w:rFonts w:hint="eastAsia"/>
          <w:shd w:val="clear" w:color="auto" w:fill="FFFFFF"/>
        </w:rPr>
        <w:t>代理机构服务评价表</w:t>
      </w:r>
      <w:bookmarkEnd w:id="48"/>
      <w:r>
        <w:rPr>
          <w:rFonts w:hint="eastAsia"/>
          <w:shd w:val="clear" w:color="auto" w:fill="FFFFFF"/>
          <w:lang w:eastAsia="zh-CN"/>
        </w:rPr>
        <w:t>（参考）</w:t>
      </w:r>
    </w:p>
    <w:tbl>
      <w:tblPr>
        <w:tblStyle w:val="15"/>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448"/>
        <w:gridCol w:w="2219"/>
        <w:gridCol w:w="2180"/>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987" w:type="dxa"/>
            <w:gridSpan w:val="2"/>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招标项目及编号</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xml:space="preserve">项目名称：      </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87" w:type="dxa"/>
            <w:gridSpan w:val="2"/>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招标代理机构</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987" w:type="dxa"/>
            <w:gridSpan w:val="2"/>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代理项目负责人</w:t>
            </w:r>
          </w:p>
        </w:tc>
        <w:tc>
          <w:tcPr>
            <w:tcW w:w="2219" w:type="dxa"/>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2180"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其他项目组成员</w:t>
            </w:r>
          </w:p>
        </w:tc>
        <w:tc>
          <w:tcPr>
            <w:tcW w:w="2974" w:type="dxa"/>
            <w:vAlign w:val="center"/>
          </w:tcPr>
          <w:p>
            <w:pPr>
              <w:spacing w:line="0" w:lineRule="atLeast"/>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39" w:type="dxa"/>
            <w:vMerge w:val="restart"/>
            <w:vAlign w:val="center"/>
          </w:tcPr>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价</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意</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见</w:t>
            </w: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评价内容</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  价  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39" w:type="dxa"/>
            <w:vMerge w:val="continue"/>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职业道德</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39" w:type="dxa"/>
            <w:vMerge w:val="continue"/>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专业技术</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39" w:type="dxa"/>
            <w:vMerge w:val="continue"/>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组织协调</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39" w:type="dxa"/>
            <w:vMerge w:val="continue"/>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工作效率</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539" w:type="dxa"/>
            <w:vMerge w:val="continue"/>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服务态度</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987" w:type="dxa"/>
            <w:gridSpan w:val="2"/>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综合评价意见</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198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社会监督员</w:t>
            </w:r>
          </w:p>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意见</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备注：该项目无社会监督员的由业主代表签署意见。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98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p>
            <w:pPr>
              <w:spacing w:line="0" w:lineRule="atLeast"/>
              <w:jc w:val="center"/>
              <w:rPr>
                <w:rFonts w:ascii="方正仿宋_GBK" w:hAnsi="方正仿宋_GBK" w:eastAsia="方正仿宋_GBK" w:cs="方正仿宋_GBK"/>
                <w:color w:val="333333"/>
                <w:kern w:val="0"/>
                <w:szCs w:val="21"/>
                <w:shd w:val="clear" w:color="auto" w:fill="FFFFFF"/>
              </w:rPr>
            </w:pPr>
          </w:p>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招标人</w:t>
            </w:r>
          </w:p>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意见</w:t>
            </w:r>
          </w:p>
          <w:p>
            <w:pPr>
              <w:spacing w:line="0" w:lineRule="atLeast"/>
              <w:jc w:val="center"/>
              <w:rPr>
                <w:rFonts w:ascii="方正仿宋_GBK" w:hAnsi="方正仿宋_GBK" w:eastAsia="方正仿宋_GBK" w:cs="方正仿宋_GBK"/>
                <w:color w:val="333333"/>
                <w:kern w:val="0"/>
                <w:szCs w:val="21"/>
                <w:shd w:val="clear" w:color="auto" w:fill="FFFFFF"/>
              </w:rPr>
            </w:pPr>
          </w:p>
        </w:tc>
        <w:tc>
          <w:tcPr>
            <w:tcW w:w="7373" w:type="dxa"/>
            <w:gridSpan w:val="3"/>
          </w:tcPr>
          <w:p>
            <w:pPr>
              <w:spacing w:line="0" w:lineRule="atLeast"/>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98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备注</w:t>
            </w:r>
          </w:p>
          <w:p>
            <w:pPr>
              <w:spacing w:line="0" w:lineRule="atLeast"/>
              <w:jc w:val="center"/>
              <w:rPr>
                <w:rFonts w:ascii="方正仿宋_GBK" w:hAnsi="方正仿宋_GBK" w:eastAsia="方正仿宋_GBK" w:cs="方正仿宋_GBK"/>
                <w:color w:val="333333"/>
                <w:kern w:val="0"/>
                <w:szCs w:val="21"/>
                <w:shd w:val="clear" w:color="auto" w:fill="FFFFFF"/>
              </w:rPr>
            </w:pPr>
          </w:p>
        </w:tc>
        <w:tc>
          <w:tcPr>
            <w:tcW w:w="7373" w:type="dxa"/>
            <w:gridSpan w:val="3"/>
          </w:tcPr>
          <w:p>
            <w:pPr>
              <w:spacing w:line="0" w:lineRule="atLeast"/>
              <w:rPr>
                <w:rFonts w:ascii="方正仿宋_GBK" w:hAnsi="方正仿宋_GBK" w:eastAsia="方正仿宋_GBK" w:cs="方正仿宋_GBK"/>
                <w:color w:val="333333"/>
                <w:kern w:val="0"/>
                <w:szCs w:val="21"/>
                <w:shd w:val="clear" w:color="auto" w:fill="FFFFFF"/>
              </w:rPr>
            </w:pPr>
          </w:p>
        </w:tc>
      </w:tr>
    </w:tbl>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sectPr>
          <w:pgSz w:w="11906" w:h="16838"/>
          <w:pgMar w:top="1440" w:right="1800" w:bottom="1440" w:left="1800" w:header="851" w:footer="992" w:gutter="0"/>
          <w:cols w:space="425" w:num="1"/>
          <w:docGrid w:type="lines" w:linePitch="312" w:charSpace="0"/>
        </w:sectPr>
      </w:pPr>
    </w:p>
    <w:p>
      <w:pPr>
        <w:spacing w:line="0" w:lineRule="atLeast"/>
        <w:jc w:val="center"/>
        <w:rPr>
          <w:rFonts w:ascii="方正仿宋_GBK" w:hAnsi="方正仿宋_GBK" w:eastAsia="方正仿宋_GBK" w:cs="方正仿宋_GBK"/>
          <w:b/>
          <w:color w:val="333333"/>
          <w:kern w:val="0"/>
          <w:sz w:val="28"/>
          <w:szCs w:val="28"/>
          <w:shd w:val="clear" w:color="auto" w:fill="FFFFFF"/>
        </w:rPr>
      </w:pPr>
      <w:r>
        <w:rPr>
          <w:rFonts w:hint="eastAsia" w:ascii="方正仿宋_GBK" w:hAnsi="方正仿宋_GBK" w:eastAsia="方正仿宋_GBK" w:cs="方正仿宋_GBK"/>
          <w:b/>
          <w:color w:val="333333"/>
          <w:kern w:val="0"/>
          <w:sz w:val="28"/>
          <w:szCs w:val="28"/>
          <w:shd w:val="clear" w:color="auto" w:fill="FFFFFF"/>
        </w:rPr>
        <w:t>评价标准</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  范围</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本标准规定了安徽宿州公共资源交易中心(以下简称“中心”)对进场交易的招标代理机构评价工作的评价管理、评价原则、评价内容、评价标准、评价程序、评价结果应用等。</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本标准适用于中心对市本级进场交易的招标代理机构及从业人员的评价活动。</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2  评价管理</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进场交易招标代理机构评价活动由社会监督员牵头、签字确认，与项目现场见证员见证材料及音视频监控、质疑投诉、信访举报等处理情况共同构成评价体系，上传电子档案系统留档备存。</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3  评价原则和目的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中心对进入平台开展招标代理活动的招标代理机构进行评价，遵循公开透明的原则，目的在于规范招标代理机构的行为，提升招标代理机构的业务水平和服务质量。</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4  评价内容</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评价的内容为招标代理机构在公共资源交易过程中贯彻执行国家和省、市招投标法律法规、交易中心交易流程和规范等的情况。</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5  评价依据</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评价的主要依据为招标人、评审专家、特邀社会监督员、项目监管部门等的评价意见，结合监控信息、质疑投诉、信访举报等处理情况。</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6  评价标准</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6.1 中心按照《宿州市公共资源交易招标代理机构及从业人员考评细则（暂行）》规定的评价标准，采用统一的评价表。</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6.2  应根据工作实际，定期调整并完善评价标准。</w:t>
      </w:r>
    </w:p>
    <w:p>
      <w:pPr>
        <w:spacing w:line="0" w:lineRule="atLeast"/>
        <w:rPr>
          <w:rFonts w:hint="default" w:ascii="方正仿宋_GBK" w:hAnsi="方正仿宋_GBK" w:eastAsia="方正仿宋_GBK" w:cs="方正仿宋_GBK"/>
          <w:color w:val="333333"/>
          <w:kern w:val="0"/>
          <w:szCs w:val="21"/>
          <w:shd w:val="clear" w:color="auto" w:fill="FFFFFF"/>
          <w:lang w:val="en-US" w:eastAsia="zh-CN"/>
        </w:rPr>
      </w:pPr>
      <w:r>
        <w:rPr>
          <w:rFonts w:hint="eastAsia" w:ascii="方正仿宋_GBK" w:hAnsi="方正仿宋_GBK" w:eastAsia="方正仿宋_GBK" w:cs="方正仿宋_GBK"/>
          <w:color w:val="333333"/>
          <w:kern w:val="0"/>
          <w:szCs w:val="21"/>
          <w:shd w:val="clear" w:color="auto" w:fill="FFFFFF"/>
          <w:lang w:val="en-US" w:eastAsia="zh-CN"/>
        </w:rPr>
        <w:t>6.3  由系统直接推送到监管平台的如流标信息、答疑变更信息，监管平台根据该类信息对代理机构服务质量做出考核，中心不再另行评价；由见证系统智能推送的预警信息，直接推送到监管平台的，由综合管理部门对代理机构作出考核，中心不再另行评价。</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  评价程序</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7.1  社会监督员或招标人应在项目评审结束1个工作日内将评价表返还招标代理机构。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7.2  中心项目见证科根据项目见证及其他业务科室反馈汇集招标代理机构及工作人员评价材料。</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7.3  代理机构将招标人、评审专家、特邀社会监督员、项目监管部门对其评价意见上传电子档案系统，作为服务质量评价依据之一。</w:t>
      </w:r>
    </w:p>
    <w:p>
      <w:pPr>
        <w:spacing w:line="0" w:lineRule="atLeast"/>
        <w:rPr>
          <w:rFonts w:hint="eastAsia" w:ascii="方正仿宋_GBK" w:hAnsi="方正仿宋_GBK" w:eastAsia="方正仿宋_GBK" w:cs="方正仿宋_GBK"/>
          <w:color w:val="333333"/>
          <w:kern w:val="0"/>
          <w:szCs w:val="21"/>
          <w:shd w:val="clear" w:color="auto" w:fill="FFFFFF"/>
          <w:lang w:eastAsia="zh-CN"/>
        </w:rPr>
      </w:pPr>
      <w:r>
        <w:rPr>
          <w:rFonts w:hint="eastAsia" w:ascii="方正仿宋_GBK" w:hAnsi="方正仿宋_GBK" w:eastAsia="方正仿宋_GBK" w:cs="方正仿宋_GBK"/>
          <w:color w:val="333333"/>
          <w:kern w:val="0"/>
          <w:szCs w:val="21"/>
          <w:shd w:val="clear" w:color="auto" w:fill="FFFFFF"/>
        </w:rPr>
        <w:t>7.4  招标代理机构对评价结果有异议的，向中心项目见证科反馈，中心项目见证科及时</w:t>
      </w:r>
      <w:r>
        <w:rPr>
          <w:rFonts w:hint="eastAsia" w:ascii="方正仿宋_GBK" w:hAnsi="方正仿宋_GBK" w:eastAsia="方正仿宋_GBK" w:cs="方正仿宋_GBK"/>
          <w:color w:val="333333"/>
          <w:kern w:val="0"/>
          <w:szCs w:val="21"/>
          <w:shd w:val="clear" w:color="auto" w:fill="FFFFFF"/>
          <w:lang w:eastAsia="zh-CN"/>
        </w:rPr>
        <w:t>反馈综合管理部门，由综合管理部门复核、确认。</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7.5  评价结果予以公布。</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8  评价结果应用</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定期通过交易大厅、安徽宿州公共资源交易中心网站（名录登记）等公布评价及考核结果，并在中心网站对不良行为进行通报。</w:t>
      </w:r>
    </w:p>
    <w:p>
      <w:pPr>
        <w:spacing w:line="0" w:lineRule="atLeast"/>
        <w:rPr>
          <w:rFonts w:ascii="方正仿宋_GBK" w:hAnsi="方正仿宋_GBK" w:eastAsia="方正仿宋_GBK" w:cs="方正仿宋_GBK"/>
          <w:color w:val="333333"/>
          <w:kern w:val="0"/>
          <w:szCs w:val="21"/>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关于进一步规范合同和履约信息</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公开等工作的通知</w:t>
      </w:r>
    </w:p>
    <w:p>
      <w:pPr>
        <w:rPr>
          <w:sz w:val="36"/>
          <w:szCs w:val="36"/>
        </w:rPr>
      </w:pP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各招标人、行业监管部门，县区综管部门，各代理机构:</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为贯彻落实省委省政府和市委市政府关于优化营商环境的重要工作部署，进一步加强我市公共资源交易监督管理，全面推进合同和履约信息公开等工作提质提效，现就有关事项通知如下:</w:t>
      </w:r>
    </w:p>
    <w:p>
      <w:pPr>
        <w:numPr>
          <w:ilvl w:val="0"/>
          <w:numId w:val="3"/>
        </w:num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建设工程项目中标、成交通知书发出 25 日内；政府采购项目中标、成交通知书发出 7个工作日内无正当理由在市交易平台未完成合同信息公开的，项目属地公共资源交易综合管理部门应当及时向项目单位及代理机构发函督办（或公共资源交易电子监管平台推送）并抄送对应行业监管部门和市政务局。</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2、建设工程项目中标、成交通知书发出 30 日内；政府采购项目中标、成交通知书发出 10个工作日内无正当理由在市交易平台未完成合同信息公开的，项目属地公共资源交易综合管理部门应当及时向项目单位发出监督意见书，同步抄送项目单位主管部门、营商办、纪检组、效能办、市政务局(限县、区项目)，视情挂网公开。</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3、所有市公共资源交易平台交易项目应当在合同履约完成后 20日内公开履约信息。</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4、未及时完成合同和履约信息公开工作的，市政务局将进行通报，并纳入公共资源交易履职情况考评管理。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5、因代理机构原因造成未及时完成合同和履约信息公开工作的，项目属地公共资源交易综合管理部门应当给予考评扣分。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6、招标文件中明确投标保证金和履约保证金、工程质量保证金、农民工工资保证金支持保函（纸质、电子）使用。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本通知自发布之日起执行。此前有关要求与本通知不一致的，以本通知为准。</w:t>
      </w:r>
    </w:p>
    <w:p>
      <w:pPr>
        <w:ind w:firstLine="640" w:firstLineChars="200"/>
        <w:rPr>
          <w:rFonts w:ascii="方正仿宋_GBK" w:hAnsi="方正仿宋_GBK" w:eastAsia="方正仿宋_GBK" w:cs="方正仿宋_GBK"/>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ind w:firstLine="720" w:firstLineChars="200"/>
        <w:rPr>
          <w:sz w:val="36"/>
          <w:szCs w:val="36"/>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90330498"/>
                          </w:sdtPr>
                          <w:sdtContent>
                            <w:p>
                              <w:pPr>
                                <w:pStyle w:val="10"/>
                                <w:jc w:val="center"/>
                              </w:pPr>
                              <w:r>
                                <w:fldChar w:fldCharType="begin"/>
                              </w:r>
                              <w:r>
                                <w:instrText xml:space="preserve">PAGE   \* MERGEFORMAT</w:instrText>
                              </w:r>
                              <w:r>
                                <w:fldChar w:fldCharType="separate"/>
                              </w:r>
                              <w:r>
                                <w:rPr>
                                  <w:lang w:val="zh-CN"/>
                                </w:rPr>
                                <w:t>10</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sdt>
                    <w:sdtPr>
                      <w:id w:val="1690330498"/>
                    </w:sdtPr>
                    <w:sdtContent>
                      <w:p>
                        <w:pPr>
                          <w:pStyle w:val="10"/>
                          <w:jc w:val="center"/>
                        </w:pPr>
                        <w:r>
                          <w:fldChar w:fldCharType="begin"/>
                        </w:r>
                        <w:r>
                          <w:instrText xml:space="preserve">PAGE   \* MERGEFORMAT</w:instrText>
                        </w:r>
                        <w:r>
                          <w:fldChar w:fldCharType="separate"/>
                        </w:r>
                        <w:r>
                          <w:rPr>
                            <w:lang w:val="zh-CN"/>
                          </w:rPr>
                          <w:t>10</w:t>
                        </w:r>
                        <w:r>
                          <w:fldChar w:fldCharType="end"/>
                        </w:r>
                      </w:p>
                    </w:sdtContent>
                  </w:sdt>
                  <w:p>
                    <w:pPr>
                      <w:pStyle w:val="2"/>
                      <w:ind w:firstLine="560"/>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60940286"/>
                            <w:docPartObj>
                              <w:docPartGallery w:val="autotext"/>
                            </w:docPartObj>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sdt>
                    <w:sdtPr>
                      <w:id w:val="-1560940286"/>
                      <w:docPartObj>
                        <w:docPartGallery w:val="autotext"/>
                      </w:docPartObj>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pP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2040066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sdt>
                    <w:sdtPr>
                      <w:id w:val="212040066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60940286"/>
                            <w:docPartObj>
                              <w:docPartGallery w:val="autotext"/>
                            </w:docPartObj>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sdt>
                    <w:sdtPr>
                      <w:id w:val="-1560940286"/>
                      <w:docPartObj>
                        <w:docPartGallery w:val="autotext"/>
                      </w:docPartObj>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pP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423061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sdt>
                    <w:sdtPr>
                      <w:id w:val="31423061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237595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sdt>
                    <w:sdtPr>
                      <w:id w:val="95237595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66725767"/>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sdt>
                    <w:sdtPr>
                      <w:id w:val="1266725767"/>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9718713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sdt>
                    <w:sdtPr>
                      <w:id w:val="-149718713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087589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sdt>
                    <w:sdtPr>
                      <w:id w:val="26087589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ABD94"/>
    <w:multiLevelType w:val="singleLevel"/>
    <w:tmpl w:val="DB5ABD94"/>
    <w:lvl w:ilvl="0" w:tentative="0">
      <w:start w:val="1"/>
      <w:numFmt w:val="decimal"/>
      <w:suff w:val="nothing"/>
      <w:lvlText w:val="%1、"/>
      <w:lvlJc w:val="left"/>
    </w:lvl>
  </w:abstractNum>
  <w:abstractNum w:abstractNumId="1">
    <w:nsid w:val="657D3FBC"/>
    <w:multiLevelType w:val="multilevel"/>
    <w:tmpl w:val="657D3FBC"/>
    <w:lvl w:ilvl="0" w:tentative="0">
      <w:start w:val="1"/>
      <w:numFmt w:val="upperLetter"/>
      <w:pStyle w:val="37"/>
      <w:suff w:val="nothing"/>
      <w:lvlText w:val="附录%1"/>
      <w:lvlJc w:val="left"/>
      <w:pPr>
        <w:ind w:left="0" w:firstLine="0"/>
      </w:pPr>
      <w:rPr>
        <w:rFonts w:hint="eastAsia"/>
        <w:spacing w:val="100"/>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34"/>
      <w:suff w:val="nothing"/>
      <w:lvlText w:val="%1%2　"/>
      <w:lvlJc w:val="left"/>
      <w:pPr>
        <w:ind w:left="0" w:firstLine="0"/>
      </w:pPr>
      <w:rPr>
        <w:rFonts w:hint="eastAsia" w:ascii="黑体" w:eastAsia="黑体"/>
        <w:b w:val="0"/>
        <w:i w:val="0"/>
        <w:sz w:val="21"/>
      </w:rPr>
    </w:lvl>
    <w:lvl w:ilvl="2" w:tentative="0">
      <w:start w:val="1"/>
      <w:numFmt w:val="decimal"/>
      <w:pStyle w:val="33"/>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jZWU0MDczZTllN2YzNzMyNGU3ODJlYzc4MGE2YzQifQ=="/>
  </w:docVars>
  <w:rsids>
    <w:rsidRoot w:val="0A930C94"/>
    <w:rsid w:val="00013929"/>
    <w:rsid w:val="000176D5"/>
    <w:rsid w:val="00084950"/>
    <w:rsid w:val="001A5A13"/>
    <w:rsid w:val="001F0796"/>
    <w:rsid w:val="00260F29"/>
    <w:rsid w:val="002B268C"/>
    <w:rsid w:val="002D6336"/>
    <w:rsid w:val="002E3E9A"/>
    <w:rsid w:val="00461BB4"/>
    <w:rsid w:val="00472C50"/>
    <w:rsid w:val="004E6E13"/>
    <w:rsid w:val="00772ACE"/>
    <w:rsid w:val="008062EC"/>
    <w:rsid w:val="008C2005"/>
    <w:rsid w:val="00983376"/>
    <w:rsid w:val="00A7440C"/>
    <w:rsid w:val="00B0184B"/>
    <w:rsid w:val="00B31FCF"/>
    <w:rsid w:val="00BE1FE5"/>
    <w:rsid w:val="00BF677B"/>
    <w:rsid w:val="00C072E9"/>
    <w:rsid w:val="00CA7EC0"/>
    <w:rsid w:val="00CB2D8E"/>
    <w:rsid w:val="00CE598B"/>
    <w:rsid w:val="00D12A72"/>
    <w:rsid w:val="00D95565"/>
    <w:rsid w:val="00DD10F0"/>
    <w:rsid w:val="00E03D20"/>
    <w:rsid w:val="00E32992"/>
    <w:rsid w:val="00F42B63"/>
    <w:rsid w:val="00FB2769"/>
    <w:rsid w:val="00FD589C"/>
    <w:rsid w:val="01064354"/>
    <w:rsid w:val="01CA648D"/>
    <w:rsid w:val="0239074D"/>
    <w:rsid w:val="050351D1"/>
    <w:rsid w:val="05BE0452"/>
    <w:rsid w:val="072A4D6A"/>
    <w:rsid w:val="07D51032"/>
    <w:rsid w:val="08A3028F"/>
    <w:rsid w:val="090D20A5"/>
    <w:rsid w:val="09D6773B"/>
    <w:rsid w:val="0A930C94"/>
    <w:rsid w:val="0ADB4CE1"/>
    <w:rsid w:val="0B51123C"/>
    <w:rsid w:val="0E2B38AB"/>
    <w:rsid w:val="0F87554B"/>
    <w:rsid w:val="10EA019F"/>
    <w:rsid w:val="10EF534A"/>
    <w:rsid w:val="114E4637"/>
    <w:rsid w:val="11B25192"/>
    <w:rsid w:val="13292CCB"/>
    <w:rsid w:val="142D3574"/>
    <w:rsid w:val="151040CF"/>
    <w:rsid w:val="15381FBA"/>
    <w:rsid w:val="15A0005B"/>
    <w:rsid w:val="15CD5ED4"/>
    <w:rsid w:val="16B60B6E"/>
    <w:rsid w:val="16F41310"/>
    <w:rsid w:val="19726F8A"/>
    <w:rsid w:val="1A652280"/>
    <w:rsid w:val="1BB70268"/>
    <w:rsid w:val="1BBA7C91"/>
    <w:rsid w:val="1C4370F3"/>
    <w:rsid w:val="1C926093"/>
    <w:rsid w:val="1D04257E"/>
    <w:rsid w:val="1D395619"/>
    <w:rsid w:val="1E785E50"/>
    <w:rsid w:val="1F7B57B3"/>
    <w:rsid w:val="1F954E93"/>
    <w:rsid w:val="21840F91"/>
    <w:rsid w:val="23AA12E9"/>
    <w:rsid w:val="23C6340E"/>
    <w:rsid w:val="24413E89"/>
    <w:rsid w:val="24C13E78"/>
    <w:rsid w:val="25EB0DA3"/>
    <w:rsid w:val="25F57211"/>
    <w:rsid w:val="270A3D99"/>
    <w:rsid w:val="272B1F61"/>
    <w:rsid w:val="27862789"/>
    <w:rsid w:val="27963710"/>
    <w:rsid w:val="28FA2A57"/>
    <w:rsid w:val="2A8737BE"/>
    <w:rsid w:val="2AEB7BF6"/>
    <w:rsid w:val="2C4D6CF4"/>
    <w:rsid w:val="2D2D7817"/>
    <w:rsid w:val="2D976F12"/>
    <w:rsid w:val="2F2F44D1"/>
    <w:rsid w:val="30D616E4"/>
    <w:rsid w:val="34597D54"/>
    <w:rsid w:val="34FA62E8"/>
    <w:rsid w:val="359F34FC"/>
    <w:rsid w:val="364B0781"/>
    <w:rsid w:val="368D4CD9"/>
    <w:rsid w:val="37A14AAE"/>
    <w:rsid w:val="382B3C56"/>
    <w:rsid w:val="38E34668"/>
    <w:rsid w:val="39AD2E3E"/>
    <w:rsid w:val="39E74BB3"/>
    <w:rsid w:val="3AD74741"/>
    <w:rsid w:val="3B917330"/>
    <w:rsid w:val="3C5747C2"/>
    <w:rsid w:val="3DE12433"/>
    <w:rsid w:val="3E8E48E8"/>
    <w:rsid w:val="3F514D1D"/>
    <w:rsid w:val="41D4720F"/>
    <w:rsid w:val="4297572F"/>
    <w:rsid w:val="43EC5DB6"/>
    <w:rsid w:val="43F51866"/>
    <w:rsid w:val="46C65609"/>
    <w:rsid w:val="475E7FB1"/>
    <w:rsid w:val="47621E78"/>
    <w:rsid w:val="48E35C7E"/>
    <w:rsid w:val="494F0F16"/>
    <w:rsid w:val="49C82745"/>
    <w:rsid w:val="4A4E10B1"/>
    <w:rsid w:val="4A6C6A5E"/>
    <w:rsid w:val="4BF325BE"/>
    <w:rsid w:val="4CC94738"/>
    <w:rsid w:val="4CD95634"/>
    <w:rsid w:val="4F4A173B"/>
    <w:rsid w:val="4FDD3DB2"/>
    <w:rsid w:val="4FDE7A71"/>
    <w:rsid w:val="51006A4C"/>
    <w:rsid w:val="548737DF"/>
    <w:rsid w:val="55872306"/>
    <w:rsid w:val="58C26B5D"/>
    <w:rsid w:val="5A24333C"/>
    <w:rsid w:val="5A8A41AF"/>
    <w:rsid w:val="5F3837B4"/>
    <w:rsid w:val="5FF45347"/>
    <w:rsid w:val="606924B4"/>
    <w:rsid w:val="61775AA5"/>
    <w:rsid w:val="622045F4"/>
    <w:rsid w:val="62F4742C"/>
    <w:rsid w:val="64E20D7E"/>
    <w:rsid w:val="663C11DC"/>
    <w:rsid w:val="664A02E3"/>
    <w:rsid w:val="67F90D6D"/>
    <w:rsid w:val="6B634B86"/>
    <w:rsid w:val="6C346220"/>
    <w:rsid w:val="6C9F5DE4"/>
    <w:rsid w:val="6F06247D"/>
    <w:rsid w:val="6F8E37D0"/>
    <w:rsid w:val="705430ED"/>
    <w:rsid w:val="709231FD"/>
    <w:rsid w:val="72110C18"/>
    <w:rsid w:val="73DD4DE5"/>
    <w:rsid w:val="78F0582B"/>
    <w:rsid w:val="78FD5BD2"/>
    <w:rsid w:val="7934038D"/>
    <w:rsid w:val="7C377EAB"/>
    <w:rsid w:val="7C67427B"/>
    <w:rsid w:val="7D1E0174"/>
    <w:rsid w:val="7D632CB8"/>
    <w:rsid w:val="7DBB7B25"/>
    <w:rsid w:val="7F2C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32"/>
      <w:szCs w:val="48"/>
    </w:rPr>
  </w:style>
  <w:style w:type="paragraph" w:styleId="6">
    <w:name w:val="heading 2"/>
    <w:basedOn w:val="1"/>
    <w:next w:val="1"/>
    <w:link w:val="38"/>
    <w:unhideWhenUsed/>
    <w:qFormat/>
    <w:uiPriority w:val="0"/>
    <w:pPr>
      <w:keepNext/>
      <w:keepLines/>
      <w:spacing w:before="260" w:after="260" w:line="416" w:lineRule="auto"/>
      <w:outlineLvl w:val="1"/>
    </w:pPr>
    <w:rPr>
      <w:rFonts w:eastAsia="仿宋" w:asciiTheme="majorHAnsi" w:hAnsiTheme="majorHAnsi" w:cstheme="majorBidi"/>
      <w:b/>
      <w:bCs/>
      <w:sz w:val="32"/>
      <w:szCs w:val="32"/>
    </w:rPr>
  </w:style>
  <w:style w:type="paragraph" w:styleId="7">
    <w:name w:val="heading 3"/>
    <w:basedOn w:val="1"/>
    <w:next w:val="1"/>
    <w:unhideWhenUsed/>
    <w:qFormat/>
    <w:uiPriority w:val="0"/>
    <w:pPr>
      <w:spacing w:before="100" w:beforeAutospacing="1" w:after="100" w:afterAutospacing="1"/>
      <w:jc w:val="left"/>
      <w:outlineLvl w:val="2"/>
    </w:pPr>
    <w:rPr>
      <w:rFonts w:hint="eastAsia" w:ascii="宋体" w:hAnsi="宋体" w:eastAsia="方正仿宋_GBK" w:cs="Times New Roman"/>
      <w:b/>
      <w:bCs/>
      <w:kern w:val="0"/>
      <w:sz w:val="30"/>
      <w:szCs w:val="27"/>
    </w:rPr>
  </w:style>
  <w:style w:type="paragraph" w:styleId="8">
    <w:name w:val="heading 4"/>
    <w:basedOn w:val="1"/>
    <w:next w:val="1"/>
    <w:link w:val="4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style>
  <w:style w:type="paragraph" w:styleId="3">
    <w:name w:val="Body Text Indent"/>
    <w:basedOn w:val="1"/>
    <w:next w:val="4"/>
    <w:qFormat/>
    <w:uiPriority w:val="0"/>
    <w:pPr>
      <w:ind w:firstLine="645"/>
    </w:pPr>
    <w:rPr>
      <w:rFonts w:ascii="Arial" w:hAnsi="Arial" w:eastAsia="仿宋_GB2312"/>
      <w:sz w:val="28"/>
      <w:szCs w:val="20"/>
    </w:rPr>
  </w:style>
  <w:style w:type="paragraph" w:styleId="4">
    <w:name w:val="envelope return"/>
    <w:basedOn w:val="1"/>
    <w:qFormat/>
    <w:uiPriority w:val="0"/>
    <w:pPr>
      <w:snapToGrid w:val="0"/>
    </w:pPr>
    <w:rPr>
      <w:rFonts w:ascii="Arial" w:hAnsi="Arial" w:cs="Arial"/>
    </w:rPr>
  </w:style>
  <w:style w:type="paragraph" w:styleId="9">
    <w:name w:val="toc 3"/>
    <w:basedOn w:val="1"/>
    <w:next w:val="1"/>
    <w:qFormat/>
    <w:uiPriority w:val="39"/>
    <w:pPr>
      <w:ind w:left="840" w:leftChars="400"/>
    </w:pPr>
  </w:style>
  <w:style w:type="paragraph" w:styleId="10">
    <w:name w:val="footer"/>
    <w:basedOn w:val="1"/>
    <w:link w:val="40"/>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style>
  <w:style w:type="character" w:styleId="19">
    <w:name w:val="page number"/>
    <w:basedOn w:val="17"/>
    <w:qFormat/>
    <w:uiPriority w:val="0"/>
  </w:style>
  <w:style w:type="character" w:styleId="20">
    <w:name w:val="FollowedHyperlink"/>
    <w:basedOn w:val="17"/>
    <w:qFormat/>
    <w:uiPriority w:val="0"/>
    <w:rPr>
      <w:color w:val="800080"/>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Typewriter"/>
    <w:basedOn w:val="17"/>
    <w:qFormat/>
    <w:uiPriority w:val="0"/>
    <w:rPr>
      <w:rFonts w:hint="default"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basedOn w:val="17"/>
    <w:qFormat/>
    <w:uiPriority w:val="99"/>
    <w:rPr>
      <w:color w:val="0000FF"/>
      <w:u w:val="none"/>
    </w:rPr>
  </w:style>
  <w:style w:type="character" w:styleId="27">
    <w:name w:val="HTML Code"/>
    <w:basedOn w:val="17"/>
    <w:qFormat/>
    <w:uiPriority w:val="0"/>
    <w:rPr>
      <w:rFonts w:ascii="monospace" w:hAnsi="monospace" w:eastAsia="monospace" w:cs="monospace"/>
      <w:sz w:val="20"/>
    </w:rPr>
  </w:style>
  <w:style w:type="character" w:styleId="28">
    <w:name w:val="HTML Cite"/>
    <w:basedOn w:val="17"/>
    <w:qFormat/>
    <w:uiPriority w:val="0"/>
  </w:style>
  <w:style w:type="character" w:styleId="29">
    <w:name w:val="HTML Keyboard"/>
    <w:basedOn w:val="17"/>
    <w:qFormat/>
    <w:uiPriority w:val="0"/>
    <w:rPr>
      <w:rFonts w:hint="default" w:ascii="monospace" w:hAnsi="monospace" w:eastAsia="monospace" w:cs="monospace"/>
      <w:sz w:val="20"/>
    </w:rPr>
  </w:style>
  <w:style w:type="character" w:styleId="30">
    <w:name w:val="HTML Sample"/>
    <w:basedOn w:val="17"/>
    <w:qFormat/>
    <w:uiPriority w:val="0"/>
    <w:rPr>
      <w:rFonts w:hint="default" w:ascii="monospace" w:hAnsi="monospace" w:eastAsia="monospace" w:cs="monospace"/>
    </w:rPr>
  </w:style>
  <w:style w:type="paragraph" w:customStyle="1" w:styleId="31">
    <w:name w:val="_Style 2"/>
    <w:basedOn w:val="1"/>
    <w:qFormat/>
    <w:uiPriority w:val="99"/>
    <w:pPr>
      <w:spacing w:line="351" w:lineRule="atLeast"/>
      <w:ind w:firstLine="623"/>
      <w:textAlignment w:val="baseline"/>
    </w:pPr>
    <w:rPr>
      <w:rFonts w:ascii="Times New Roman" w:hAnsi="Times New Roman" w:eastAsia="仿宋_GB2312"/>
      <w:color w:val="000000"/>
      <w:sz w:val="31"/>
      <w:szCs w:val="31"/>
    </w:rPr>
  </w:style>
  <w:style w:type="paragraph" w:customStyle="1" w:styleId="32">
    <w:name w:val="标准文件_一级无标题"/>
    <w:basedOn w:val="33"/>
    <w:qFormat/>
    <w:uiPriority w:val="0"/>
    <w:pPr>
      <w:spacing w:before="0" w:beforeLines="0" w:after="0" w:afterLines="0"/>
      <w:outlineLvl w:val="9"/>
    </w:pPr>
    <w:rPr>
      <w:rFonts w:ascii="宋体" w:eastAsia="宋体"/>
    </w:rPr>
  </w:style>
  <w:style w:type="paragraph" w:customStyle="1" w:styleId="33">
    <w:name w:val="标准文件_一级条标题"/>
    <w:basedOn w:val="34"/>
    <w:next w:val="35"/>
    <w:qFormat/>
    <w:uiPriority w:val="0"/>
    <w:pPr>
      <w:numPr>
        <w:ilvl w:val="2"/>
      </w:numPr>
      <w:spacing w:before="50" w:beforeLines="50" w:after="50" w:afterLines="50"/>
      <w:outlineLvl w:val="1"/>
    </w:pPr>
  </w:style>
  <w:style w:type="paragraph" w:customStyle="1" w:styleId="34">
    <w:name w:val="标准文件_章标题"/>
    <w:next w:val="35"/>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
    <w:name w:val="标准文件_术语条一"/>
    <w:basedOn w:val="32"/>
    <w:next w:val="35"/>
    <w:qFormat/>
    <w:uiPriority w:val="0"/>
  </w:style>
  <w:style w:type="paragraph" w:customStyle="1" w:styleId="37">
    <w:name w:val="标准文件_附录标识"/>
    <w:next w:val="35"/>
    <w:qFormat/>
    <w:uiPriority w:val="0"/>
    <w:pPr>
      <w:numPr>
        <w:ilvl w:val="0"/>
        <w:numId w:val="2"/>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character" w:customStyle="1" w:styleId="38">
    <w:name w:val="标题 2 字符"/>
    <w:basedOn w:val="17"/>
    <w:link w:val="6"/>
    <w:qFormat/>
    <w:uiPriority w:val="0"/>
    <w:rPr>
      <w:rFonts w:eastAsia="仿宋" w:asciiTheme="majorHAnsi" w:hAnsiTheme="majorHAnsi" w:cstheme="majorBidi"/>
      <w:b/>
      <w:bCs/>
      <w:kern w:val="2"/>
      <w:sz w:val="32"/>
      <w:szCs w:val="32"/>
    </w:rPr>
  </w:style>
  <w:style w:type="paragraph" w:customStyle="1" w:styleId="39">
    <w:name w:val="TOC 标题1"/>
    <w:basedOn w:val="5"/>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bCs w:val="0"/>
      <w:color w:val="2E75B6" w:themeColor="accent1" w:themeShade="BF"/>
      <w:kern w:val="0"/>
      <w:szCs w:val="32"/>
    </w:rPr>
  </w:style>
  <w:style w:type="character" w:customStyle="1" w:styleId="40">
    <w:name w:val="页脚 字符"/>
    <w:basedOn w:val="17"/>
    <w:link w:val="10"/>
    <w:qFormat/>
    <w:uiPriority w:val="99"/>
    <w:rPr>
      <w:rFonts w:asciiTheme="minorHAnsi" w:hAnsiTheme="minorHAnsi" w:eastAsiaTheme="minorEastAsia" w:cstheme="minorBidi"/>
      <w:kern w:val="2"/>
      <w:sz w:val="18"/>
      <w:szCs w:val="24"/>
    </w:rPr>
  </w:style>
  <w:style w:type="character" w:customStyle="1" w:styleId="41">
    <w:name w:val="标题 4 字符"/>
    <w:basedOn w:val="17"/>
    <w:link w:val="8"/>
    <w:qFormat/>
    <w:uiPriority w:val="0"/>
    <w:rPr>
      <w:rFonts w:asciiTheme="majorHAnsi" w:hAnsiTheme="majorHAnsi" w:eastAsiaTheme="majorEastAsia" w:cstheme="majorBidi"/>
      <w:b/>
      <w:bCs/>
      <w:kern w:val="2"/>
      <w:sz w:val="28"/>
      <w:szCs w:val="28"/>
    </w:rPr>
  </w:style>
  <w:style w:type="paragraph" w:customStyle="1" w:styleId="42">
    <w:name w:val="TOC Heading"/>
    <w:basedOn w:val="5"/>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bCs w:val="0"/>
      <w:color w:val="2E75B6"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BAB18-DD8E-4CBB-99CC-08F28DEB7E1A}">
  <ds:schemaRefs/>
</ds:datastoreItem>
</file>

<file path=docProps/app.xml><?xml version="1.0" encoding="utf-8"?>
<Properties xmlns="http://schemas.openxmlformats.org/officeDocument/2006/extended-properties" xmlns:vt="http://schemas.openxmlformats.org/officeDocument/2006/docPropsVTypes">
  <Template>Normal</Template>
  <Company>sxhjdn</Company>
  <Pages>48</Pages>
  <Words>13414</Words>
  <Characters>13619</Characters>
  <Lines>129</Lines>
  <Paragraphs>36</Paragraphs>
  <TotalTime>0</TotalTime>
  <ScaleCrop>false</ScaleCrop>
  <LinksUpToDate>false</LinksUpToDate>
  <CharactersWithSpaces>15066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2022-11-14T03:30:00Z</dcterms:created>
  <dc:creator>月亮的糖</dc:creator>
  <cp:lastModifiedBy>13305577260</cp:lastModifiedBy>
  <cp:lastPrinted>2023-02-13T06:37:00Z</cp:lastPrinted>
  <dcterms:modified xsi:type="dcterms:W3CDTF">2023-03-30T08:37:22Z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129DDD05163044CBA95DE13F2B6F1FB4</vt:lpwstr>
  </property>
</Properties>
</file>