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p>
    <w:p>
      <w:pPr>
        <w:pStyle w:val="3"/>
        <w:shd w:val="clear" w:color="auto" w:fill="FFFFFF"/>
        <w:spacing w:before="120" w:beforeAutospacing="0" w:after="120" w:afterAutospacing="0" w:line="590" w:lineRule="exact"/>
        <w:jc w:val="center"/>
        <w:rPr>
          <w:rFonts w:hint="eastAsia" w:ascii="Times New Roman" w:hAnsi="Times New Roman" w:eastAsia="方正小标宋_GBK" w:cs="Times New Roman"/>
          <w:b w:val="0"/>
          <w:bCs w:val="0"/>
          <w:color w:val="000000"/>
          <w:spacing w:val="6"/>
          <w:sz w:val="44"/>
          <w:szCs w:val="44"/>
        </w:rPr>
      </w:pPr>
      <w:r>
        <w:rPr>
          <w:rFonts w:hint="eastAsia" w:ascii="Times New Roman" w:hAnsi="Times New Roman" w:eastAsia="方正小标宋_GBK" w:cs="Times New Roman"/>
          <w:b w:val="0"/>
          <w:bCs w:val="0"/>
          <w:color w:val="000000"/>
          <w:spacing w:val="6"/>
          <w:sz w:val="44"/>
          <w:szCs w:val="44"/>
        </w:rPr>
        <w:t>宿州市税务局关于</w:t>
      </w:r>
    </w:p>
    <w:p>
      <w:pPr>
        <w:pStyle w:val="3"/>
        <w:shd w:val="clear" w:color="auto" w:fill="FFFFFF"/>
        <w:spacing w:before="120" w:beforeAutospacing="0" w:after="120" w:afterAutospacing="0" w:line="590" w:lineRule="exact"/>
        <w:jc w:val="center"/>
        <w:rPr>
          <w:rFonts w:hint="eastAsia" w:ascii="Times New Roman" w:hAnsi="Times New Roman" w:eastAsia="方正小标宋_GBK" w:cs="Times New Roman"/>
          <w:b w:val="0"/>
          <w:bCs w:val="0"/>
          <w:color w:val="000000"/>
          <w:spacing w:val="6"/>
          <w:sz w:val="44"/>
          <w:szCs w:val="44"/>
        </w:rPr>
      </w:pPr>
      <w:r>
        <w:rPr>
          <w:rFonts w:hint="eastAsia" w:ascii="Times New Roman" w:hAnsi="Times New Roman" w:eastAsia="方正小标宋_GBK" w:cs="Times New Roman"/>
          <w:b w:val="0"/>
          <w:bCs w:val="0"/>
          <w:color w:val="000000"/>
          <w:spacing w:val="6"/>
          <w:sz w:val="44"/>
          <w:szCs w:val="44"/>
        </w:rPr>
        <w:t>调整核定征收所得税应税所得率的通知</w:t>
      </w:r>
    </w:p>
    <w:p>
      <w:pPr>
        <w:spacing w:line="590" w:lineRule="exact"/>
      </w:pPr>
    </w:p>
    <w:p>
      <w:pPr>
        <w:overflowPunct w:val="0"/>
        <w:topLinePunct/>
        <w:adjustRightInd w:val="0"/>
        <w:spacing w:line="59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宿地税函〔2013〕241号</w:t>
      </w:r>
    </w:p>
    <w:p>
      <w:pPr>
        <w:overflowPunct w:val="0"/>
        <w:topLinePunct/>
        <w:adjustRightInd w:val="0"/>
        <w:spacing w:line="590" w:lineRule="exact"/>
        <w:rPr>
          <w:rFonts w:ascii="Times New Roman" w:hAnsi="Times New Roman" w:eastAsia="方正仿宋_GBK"/>
          <w:sz w:val="32"/>
          <w:szCs w:val="40"/>
        </w:rPr>
      </w:pP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2013年12月19日宿州市地方税务局宿地税函〔2013〕241号发布，根据2018年7月5日《国家税务总局宿州市税务局关于发布修改的税收规范性文件目录的公告》（国家税务总局宿州市税务局公告2018年第3号）第一次修改，根据2022年4月29日《国家税务总局宿州市税务局关于公布全文失效废止 部分条款修改的税务规范性文件目录的公告》（国家税务总局宿州市税务局公告2022年第4号）第二次修改）</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各县、区税务局，市税务局各分局（局）：</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为做好AHTAX2013软件上线后核定征收所得税工作，根据《个人所得税法》及其实施条例、《企业所得税核定征收办法》（国税发[2008]30号）、《安徽省个人所得税核定征收暂行办法》（皖地税[2001]158号）等有关法律法规和税收政策规定，决定对我市核定征收所得税应税所得率以及门市开票附征率进行调整，现将有关问题通知如下：</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一、我市范围内从事生产经营和承包承租经营的个体工商户、个人独资企业和合伙企业，采用核定征收方式征收个人所得税，以及采用核定征收方式征收企业所得税的纳税人，按附表规定的应税所得率执行；办税服务厅代开发票的临时经营纳税人，按附表的附征率征收所得税。</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对于能够查实征税的劳务报酬所得、利息股息红利所得、财产租赁所得、财产转让所得、偶然所得等以及法律、法规对所得税征收另有规定的代开票征税项目,应按照个人所得税税法规定计算征收；纳入全员全额扣缴信息系统，不按附表规定的所得税附征率执行。</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二、月核定营业收入（销售收入）在3万元以上的，全额征收所得税。</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三、纳税人经营两个或两个以上经营项目的，按不同经营项目确定应税所得率、附征率。不同经营项目之间收入难以划分的，按当期核定营业收入（销售收入）中所占比重最高的经营项目适用的应税所得率、附征率计算。</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四、从事个体出租车运营的个体工商户暂按现行规定征收个人所得税。</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五、核定应税所得率征收所得税的纳税人实行按月申报预缴所得税、年终汇算清缴的办法。各地要加强辖区内核定征收所得税纳税人的税收管征，对新增的行业、项目应及时调查、上报市局（所得税科），并报告核定征收管理过程中存在的问题、建议。</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八、各单位可根据实际情况，确定不低于本通知具体适用应税所得率，并报市局备案。</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本通知自2014年1月1日起执行，原规定与本通知规定不符的按本通知规定执行；总局、省局有新规定的按新规定执行。</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xml:space="preserve"> </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附表：《宿州市所得税应税所得率、附征率表》</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xml:space="preserve"> </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xml:space="preserve"> </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国家税务总局宿州市税务局</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 xml:space="preserve">                          2022年4月27日</w:t>
      </w:r>
    </w:p>
    <w:p>
      <w:pPr>
        <w:widowControl/>
        <w:shd w:val="clear" w:color="auto" w:fill="FFFFFF"/>
        <w:suppressAutoHyphens w:val="0"/>
        <w:spacing w:line="590" w:lineRule="exact"/>
        <w:ind w:firstLine="640"/>
        <w:textAlignment w:val="baseline"/>
        <w:rPr>
          <w:rFonts w:ascii="Times New Roman" w:hAnsi="Times New Roman" w:eastAsia="方正仿宋_GBK"/>
          <w:color w:val="333333"/>
          <w:kern w:val="0"/>
          <w:sz w:val="32"/>
          <w:szCs w:val="32"/>
        </w:rPr>
      </w:pPr>
    </w:p>
    <w:p>
      <w:pPr>
        <w:pStyle w:val="2"/>
        <w:ind w:firstLine="640"/>
        <w:rPr>
          <w:rFonts w:hint="eastAsia" w:ascii="Times New Roman" w:hAnsi="Times New Roman"/>
        </w:rPr>
      </w:pPr>
    </w:p>
    <w:p>
      <w:pPr>
        <w:rPr>
          <w:rFonts w:hint="eastAsia"/>
        </w:rPr>
      </w:pPr>
    </w:p>
    <w:p>
      <w:pPr>
        <w:pStyle w:val="2"/>
        <w:ind w:firstLine="640"/>
        <w:rPr>
          <w:rFonts w:hint="eastAsia"/>
        </w:rPr>
      </w:pPr>
    </w:p>
    <w:p>
      <w:pPr>
        <w:rPr>
          <w:rFonts w:hint="eastAsia"/>
        </w:rPr>
      </w:pPr>
    </w:p>
    <w:p>
      <w:pPr>
        <w:pStyle w:val="2"/>
        <w:ind w:firstLine="640"/>
        <w:rPr>
          <w:rFonts w:hint="eastAsia"/>
        </w:rPr>
      </w:pPr>
    </w:p>
    <w:p/>
    <w:p>
      <w:pPr>
        <w:suppressAutoHyphens w:val="0"/>
        <w:overflowPunct w:val="0"/>
        <w:adjustRightInd w:val="0"/>
        <w:spacing w:before="100" w:beforeAutospacing="1" w:after="100" w:afterAutospacing="1" w:line="590" w:lineRule="exact"/>
        <w:jc w:val="center"/>
        <w:textAlignment w:val="baseline"/>
        <w:rPr>
          <w:rFonts w:hint="eastAsia" w:ascii="方正小标宋_GBK" w:hAnsi="宋体" w:eastAsia="方正小标宋_GBK" w:cs="宋体"/>
          <w:kern w:val="0"/>
          <w:sz w:val="44"/>
          <w:szCs w:val="44"/>
        </w:rPr>
      </w:pPr>
    </w:p>
    <w:p>
      <w:pPr>
        <w:pStyle w:val="3"/>
        <w:shd w:val="clear" w:color="auto" w:fill="FFFFFF"/>
        <w:spacing w:before="120" w:beforeAutospacing="0" w:after="120" w:afterAutospacing="0" w:line="590" w:lineRule="exact"/>
        <w:jc w:val="center"/>
        <w:rPr>
          <w:rFonts w:ascii="Times New Roman" w:hAnsi="Times New Roman" w:eastAsia="方正小标宋_GBK" w:cs="Times New Roman"/>
          <w:b w:val="0"/>
          <w:bCs w:val="0"/>
          <w:color w:val="000000"/>
          <w:spacing w:val="6"/>
          <w:sz w:val="44"/>
          <w:szCs w:val="44"/>
        </w:rPr>
      </w:pPr>
      <w:r>
        <w:rPr>
          <w:rFonts w:hint="eastAsia" w:ascii="Times New Roman" w:hAnsi="Times New Roman" w:eastAsia="方正小标宋_GBK" w:cs="Times New Roman"/>
          <w:b w:val="0"/>
          <w:bCs w:val="0"/>
          <w:color w:val="000000"/>
          <w:spacing w:val="6"/>
          <w:sz w:val="44"/>
          <w:szCs w:val="44"/>
        </w:rPr>
        <w:t>宿州市所得</w:t>
      </w:r>
      <w:bookmarkStart w:id="0" w:name="_GoBack"/>
      <w:bookmarkEnd w:id="0"/>
      <w:r>
        <w:rPr>
          <w:rFonts w:hint="eastAsia" w:ascii="Times New Roman" w:hAnsi="Times New Roman" w:eastAsia="方正小标宋_GBK" w:cs="Times New Roman"/>
          <w:b w:val="0"/>
          <w:bCs w:val="0"/>
          <w:color w:val="000000"/>
          <w:spacing w:val="6"/>
          <w:sz w:val="44"/>
          <w:szCs w:val="44"/>
        </w:rPr>
        <w:t>税应税所得率、附征率表</w:t>
      </w:r>
    </w:p>
    <w:tbl>
      <w:tblPr>
        <w:tblStyle w:val="12"/>
        <w:tblW w:w="876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527"/>
        <w:gridCol w:w="2443"/>
        <w:gridCol w:w="1779"/>
        <w:gridCol w:w="1042"/>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937" w:type="dxa"/>
            <w:tcBorders>
              <w:top w:val="single" w:color="auto" w:sz="4" w:space="0"/>
              <w:left w:val="single" w:color="auto" w:sz="4" w:space="0"/>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b/>
                <w:kern w:val="0"/>
                <w:sz w:val="28"/>
                <w:szCs w:val="28"/>
              </w:rPr>
              <w:t>序号</w:t>
            </w:r>
          </w:p>
        </w:tc>
        <w:tc>
          <w:tcPr>
            <w:tcW w:w="3970" w:type="dxa"/>
            <w:gridSpan w:val="2"/>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b/>
                <w:kern w:val="0"/>
                <w:sz w:val="28"/>
                <w:szCs w:val="28"/>
              </w:rPr>
              <w:t>行业类别及范围</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b/>
                <w:kern w:val="0"/>
                <w:sz w:val="28"/>
                <w:szCs w:val="28"/>
              </w:rPr>
              <w:t>计税依据</w:t>
            </w:r>
          </w:p>
        </w:tc>
        <w:tc>
          <w:tcPr>
            <w:tcW w:w="1042"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ind w:right="-107" w:rightChars="-51"/>
              <w:jc w:val="center"/>
              <w:textAlignment w:val="baseline"/>
              <w:rPr>
                <w:rFonts w:ascii="宋体" w:hAnsi="宋体" w:cs="宋体"/>
                <w:kern w:val="0"/>
                <w:sz w:val="24"/>
              </w:rPr>
            </w:pPr>
            <w:r>
              <w:rPr>
                <w:rFonts w:hint="eastAsia" w:ascii="方正仿宋_GBK" w:hAnsi="宋体" w:eastAsia="方正仿宋_GBK" w:cs="宋体"/>
                <w:b/>
                <w:kern w:val="0"/>
                <w:sz w:val="28"/>
                <w:szCs w:val="28"/>
              </w:rPr>
              <w:t>个人所得税应税所得率%</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b/>
                <w:kern w:val="0"/>
                <w:sz w:val="28"/>
                <w:szCs w:val="28"/>
              </w:rPr>
              <w:t>附征率%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工业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工业性加工</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销售收入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jc w:val="both"/>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5</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ind w:right="-107" w:rightChars="-51"/>
              <w:jc w:val="left"/>
              <w:textAlignment w:val="baseline"/>
              <w:rPr>
                <w:rFonts w:ascii="宋体" w:hAnsi="宋体" w:cs="宋体"/>
                <w:kern w:val="0"/>
                <w:sz w:val="24"/>
              </w:rPr>
            </w:pPr>
            <w:r>
              <w:rPr>
                <w:rFonts w:hint="eastAsia" w:ascii="方正仿宋_GBK" w:hAnsi="宋体" w:eastAsia="方正仿宋_GBK" w:cs="宋体"/>
                <w:kern w:val="0"/>
                <w:sz w:val="28"/>
                <w:szCs w:val="28"/>
              </w:rPr>
              <w:t>矿产品开</w:t>
            </w:r>
          </w:p>
          <w:p>
            <w:pPr>
              <w:suppressAutoHyphens w:val="0"/>
              <w:overflowPunct w:val="0"/>
              <w:adjustRightInd w:val="0"/>
              <w:spacing w:before="100" w:beforeAutospacing="1" w:after="100" w:afterAutospacing="1" w:line="590" w:lineRule="exact"/>
              <w:ind w:right="-107" w:rightChars="-51"/>
              <w:jc w:val="left"/>
              <w:textAlignment w:val="baseline"/>
              <w:rPr>
                <w:rFonts w:ascii="宋体" w:hAnsi="宋体" w:cs="宋体"/>
                <w:kern w:val="0"/>
                <w:sz w:val="24"/>
              </w:rPr>
            </w:pPr>
            <w:r>
              <w:rPr>
                <w:rFonts w:hint="eastAsia" w:ascii="方正仿宋_GBK" w:hAnsi="宋体" w:eastAsia="方正仿宋_GBK" w:cs="宋体"/>
                <w:kern w:val="0"/>
                <w:sz w:val="28"/>
                <w:szCs w:val="28"/>
              </w:rPr>
              <w:t>采加工</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开采、销售</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销售收入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restart"/>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3</w:t>
            </w:r>
          </w:p>
        </w:tc>
        <w:tc>
          <w:tcPr>
            <w:tcW w:w="1527" w:type="dxa"/>
            <w:vMerge w:val="restart"/>
            <w:tcBorders>
              <w:top w:val="nil"/>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交通运</w:t>
            </w:r>
          </w:p>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输业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客、货运输</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销售收入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continue"/>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p>
        </w:tc>
        <w:tc>
          <w:tcPr>
            <w:tcW w:w="3970" w:type="dxa"/>
            <w:vMerge w:val="continue"/>
            <w:tcBorders>
              <w:top w:val="nil"/>
              <w:left w:val="nil"/>
              <w:bottom w:val="single" w:color="auto" w:sz="4" w:space="0"/>
              <w:right w:val="single" w:color="auto" w:sz="4" w:space="0"/>
            </w:tcBorders>
            <w:vAlign w:val="center"/>
          </w:tcPr>
          <w:p>
            <w:pPr>
              <w:widowControl/>
              <w:suppressAutoHyphens w:val="0"/>
              <w:jc w:val="left"/>
              <w:rPr>
                <w:rFonts w:ascii="宋体" w:hAnsi="宋体" w:cs="宋体"/>
                <w:kern w:val="0"/>
                <w:sz w:val="24"/>
              </w:rPr>
            </w:pP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搬运、装卸（搬家）及其他运输</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销售收入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5</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4</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商业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批发、零售</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销售收入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5</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5</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修理修</w:t>
            </w:r>
          </w:p>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配业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加工、修理、修配</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6</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建筑安</w:t>
            </w:r>
          </w:p>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装业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建筑、安装、修缮、装饰、装潢、其他工程作业</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8</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restart"/>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7</w:t>
            </w:r>
          </w:p>
        </w:tc>
        <w:tc>
          <w:tcPr>
            <w:tcW w:w="1527" w:type="dxa"/>
            <w:vMerge w:val="restart"/>
            <w:tcBorders>
              <w:top w:val="nil"/>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房地产</w:t>
            </w:r>
          </w:p>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开发</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开发销售</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12</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continue"/>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p>
        </w:tc>
        <w:tc>
          <w:tcPr>
            <w:tcW w:w="3970" w:type="dxa"/>
            <w:vMerge w:val="continue"/>
            <w:tcBorders>
              <w:top w:val="nil"/>
              <w:left w:val="nil"/>
              <w:bottom w:val="single" w:color="auto" w:sz="4" w:space="0"/>
              <w:right w:val="single" w:color="auto" w:sz="4" w:space="0"/>
            </w:tcBorders>
            <w:vAlign w:val="center"/>
          </w:tcPr>
          <w:p>
            <w:pPr>
              <w:widowControl/>
              <w:suppressAutoHyphens w:val="0"/>
              <w:jc w:val="left"/>
              <w:rPr>
                <w:rFonts w:ascii="宋体" w:hAnsi="宋体" w:cs="宋体"/>
                <w:kern w:val="0"/>
                <w:sz w:val="24"/>
              </w:rPr>
            </w:pP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个人自建并销售住房</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15</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 xml:space="preserve"> </w:t>
            </w:r>
            <w:r>
              <w:rPr>
                <w:rFonts w:hint="eastAsia" w:ascii="Times New Roman" w:hAnsi="Times New Roman" w:eastAsia="方正仿宋_GBK"/>
                <w:color w:val="333333"/>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8</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农林牧</w:t>
            </w:r>
          </w:p>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渔业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内陆养殖、花卉等种植</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5</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9</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娱乐业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歌厅、舞厅、酒巴、茶艺、游戏、网吧、台球、保龄球及其它未列举的娱乐业</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25</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restart"/>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527" w:type="dxa"/>
            <w:vMerge w:val="restart"/>
            <w:tcBorders>
              <w:top w:val="nil"/>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ind w:right="-107" w:rightChars="-51"/>
              <w:jc w:val="left"/>
              <w:textAlignment w:val="baseline"/>
              <w:rPr>
                <w:rFonts w:ascii="宋体" w:hAnsi="宋体" w:cs="宋体"/>
                <w:kern w:val="0"/>
                <w:sz w:val="24"/>
              </w:rPr>
            </w:pPr>
            <w:r>
              <w:rPr>
                <w:rFonts w:hint="eastAsia" w:ascii="方正仿宋_GBK" w:hAnsi="宋体" w:eastAsia="方正仿宋_GBK" w:cs="宋体"/>
                <w:kern w:val="0"/>
                <w:sz w:val="28"/>
                <w:szCs w:val="28"/>
              </w:rPr>
              <w:t>服务业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美容、美发、按摩、洗浴、沐足、广告等</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continue"/>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p>
        </w:tc>
        <w:tc>
          <w:tcPr>
            <w:tcW w:w="3970" w:type="dxa"/>
            <w:vMerge w:val="continue"/>
            <w:tcBorders>
              <w:top w:val="nil"/>
              <w:left w:val="nil"/>
              <w:bottom w:val="single" w:color="auto" w:sz="4" w:space="0"/>
              <w:right w:val="single" w:color="auto" w:sz="4" w:space="0"/>
            </w:tcBorders>
            <w:vAlign w:val="center"/>
          </w:tcPr>
          <w:p>
            <w:pPr>
              <w:widowControl/>
              <w:suppressAutoHyphens w:val="0"/>
              <w:jc w:val="left"/>
              <w:rPr>
                <w:rFonts w:ascii="宋体" w:hAnsi="宋体" w:cs="宋体"/>
                <w:kern w:val="0"/>
                <w:sz w:val="24"/>
              </w:rPr>
            </w:pP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医疗服务</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continue"/>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p>
        </w:tc>
        <w:tc>
          <w:tcPr>
            <w:tcW w:w="3970" w:type="dxa"/>
            <w:vMerge w:val="continue"/>
            <w:tcBorders>
              <w:top w:val="nil"/>
              <w:left w:val="nil"/>
              <w:bottom w:val="single" w:color="auto" w:sz="4" w:space="0"/>
              <w:right w:val="single" w:color="auto" w:sz="4" w:space="0"/>
            </w:tcBorders>
            <w:vAlign w:val="center"/>
          </w:tcPr>
          <w:p>
            <w:pPr>
              <w:widowControl/>
              <w:suppressAutoHyphens w:val="0"/>
              <w:jc w:val="left"/>
              <w:rPr>
                <w:rFonts w:ascii="宋体" w:hAnsi="宋体" w:cs="宋体"/>
                <w:kern w:val="0"/>
                <w:sz w:val="24"/>
              </w:rPr>
            </w:pP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住宿、餐饮、中介等其他</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15</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11</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文化体</w:t>
            </w:r>
          </w:p>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育业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shd w:val="clear" w:color="auto" w:fill="FFFFFF"/>
              </w:rPr>
              <w:t>表演、播映、其他文化业、体育比赛、</w:t>
            </w:r>
            <w:r>
              <w:rPr>
                <w:rFonts w:hint="eastAsia" w:ascii="方正仿宋_GBK" w:hAnsi="宋体" w:eastAsia="方正仿宋_GBK" w:cs="宋体"/>
                <w:kern w:val="0"/>
                <w:sz w:val="28"/>
                <w:szCs w:val="28"/>
              </w:rPr>
              <w:t>健身房、电脑技术培训等</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12</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社会办</w:t>
            </w:r>
          </w:p>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学业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符合条件的各类学校、培训班</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restart"/>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13</w:t>
            </w:r>
          </w:p>
        </w:tc>
        <w:tc>
          <w:tcPr>
            <w:tcW w:w="1527" w:type="dxa"/>
            <w:vMerge w:val="restart"/>
            <w:tcBorders>
              <w:top w:val="nil"/>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财产、租</w:t>
            </w:r>
          </w:p>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赁转让</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财产转让、财产租赁所得</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20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37" w:type="dxa"/>
            <w:vMerge w:val="continue"/>
            <w:tcBorders>
              <w:top w:val="nil"/>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p>
        </w:tc>
        <w:tc>
          <w:tcPr>
            <w:tcW w:w="3970" w:type="dxa"/>
            <w:vMerge w:val="continue"/>
            <w:tcBorders>
              <w:top w:val="nil"/>
              <w:left w:val="nil"/>
              <w:bottom w:val="single" w:color="auto" w:sz="4" w:space="0"/>
              <w:right w:val="single" w:color="auto" w:sz="4" w:space="0"/>
            </w:tcBorders>
            <w:vAlign w:val="center"/>
          </w:tcPr>
          <w:p>
            <w:pPr>
              <w:widowControl/>
              <w:suppressAutoHyphens w:val="0"/>
              <w:jc w:val="left"/>
              <w:rPr>
                <w:rFonts w:ascii="宋体" w:hAnsi="宋体" w:cs="宋体"/>
                <w:kern w:val="0"/>
                <w:sz w:val="24"/>
              </w:rPr>
            </w:pP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二手房</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Times New Roman" w:hAnsi="Times New Roman" w:eastAsia="方正仿宋_GBK"/>
                <w:color w:val="333333"/>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uppressAutoHyphens w:val="0"/>
              <w:spacing w:line="590" w:lineRule="exact"/>
              <w:jc w:val="center"/>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14</w:t>
            </w:r>
          </w:p>
        </w:tc>
        <w:tc>
          <w:tcPr>
            <w:tcW w:w="1527"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kern w:val="0"/>
                <w:sz w:val="28"/>
                <w:szCs w:val="28"/>
              </w:rPr>
              <w:t>其他行业</w:t>
            </w:r>
          </w:p>
        </w:tc>
        <w:tc>
          <w:tcPr>
            <w:tcW w:w="2443"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方正仿宋_GBK" w:hAnsi="宋体" w:eastAsia="方正仿宋_GBK" w:cs="宋体"/>
                <w:sz w:val="28"/>
                <w:szCs w:val="28"/>
              </w:rPr>
              <w:t> </w:t>
            </w:r>
          </w:p>
        </w:tc>
        <w:tc>
          <w:tcPr>
            <w:tcW w:w="1779"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kern w:val="0"/>
                <w:sz w:val="28"/>
                <w:szCs w:val="28"/>
              </w:rPr>
              <w:t>营业收入</w:t>
            </w:r>
          </w:p>
        </w:tc>
        <w:tc>
          <w:tcPr>
            <w:tcW w:w="1042" w:type="dxa"/>
            <w:tcBorders>
              <w:top w:val="single" w:color="auto" w:sz="4" w:space="0"/>
              <w:left w:val="nil"/>
              <w:bottom w:val="single" w:color="auto" w:sz="4" w:space="0"/>
              <w:right w:val="single" w:color="auto" w:sz="4" w:space="0"/>
            </w:tcBorders>
            <w:vAlign w:val="center"/>
          </w:tcPr>
          <w:p>
            <w:pPr>
              <w:widowControl/>
              <w:shd w:val="clear" w:color="auto" w:fill="FFFFFF"/>
              <w:suppressAutoHyphens w:val="0"/>
              <w:spacing w:line="590" w:lineRule="exact"/>
              <w:ind w:firstLine="320" w:firstLineChars="100"/>
              <w:textAlignment w:val="baseline"/>
              <w:rPr>
                <w:rFonts w:hint="eastAsia" w:ascii="Times New Roman" w:hAnsi="Times New Roman" w:eastAsia="方正仿宋_GBK"/>
                <w:color w:val="333333"/>
                <w:kern w:val="0"/>
                <w:sz w:val="32"/>
                <w:szCs w:val="32"/>
              </w:rPr>
            </w:pPr>
            <w:r>
              <w:rPr>
                <w:rFonts w:hint="eastAsia" w:ascii="Times New Roman" w:hAnsi="Times New Roman" w:eastAsia="方正仿宋_GBK"/>
                <w:color w:val="333333"/>
                <w:kern w:val="0"/>
                <w:sz w:val="32"/>
                <w:szCs w:val="32"/>
              </w:rPr>
              <w:t>10</w:t>
            </w:r>
          </w:p>
        </w:tc>
        <w:tc>
          <w:tcPr>
            <w:tcW w:w="1035" w:type="dxa"/>
            <w:tcBorders>
              <w:top w:val="single" w:color="auto" w:sz="4" w:space="0"/>
              <w:left w:val="nil"/>
              <w:bottom w:val="single" w:color="auto" w:sz="4" w:space="0"/>
              <w:right w:val="single" w:color="auto" w:sz="4" w:space="0"/>
            </w:tcBorders>
            <w:vAlign w:val="center"/>
          </w:tcPr>
          <w:p>
            <w:pPr>
              <w:suppressAutoHyphens w:val="0"/>
              <w:overflowPunct w:val="0"/>
              <w:adjustRightInd w:val="0"/>
              <w:spacing w:before="100" w:beforeAutospacing="1" w:after="100" w:afterAutospacing="1" w:line="590" w:lineRule="exact"/>
              <w:jc w:val="center"/>
              <w:textAlignment w:val="baseline"/>
              <w:rPr>
                <w:rFonts w:ascii="宋体" w:hAnsi="宋体" w:cs="宋体"/>
                <w:kern w:val="0"/>
                <w:sz w:val="24"/>
              </w:rPr>
            </w:pPr>
            <w:r>
              <w:rPr>
                <w:rFonts w:hint="eastAsia" w:ascii="方正仿宋_GBK" w:hAnsi="宋体" w:eastAsia="方正仿宋_GBK" w:cs="宋体"/>
                <w:sz w:val="28"/>
                <w:szCs w:val="28"/>
              </w:rPr>
              <w:t>-</w:t>
            </w:r>
          </w:p>
        </w:tc>
      </w:tr>
    </w:tbl>
    <w:p>
      <w:pPr>
        <w:suppressAutoHyphens w:val="0"/>
        <w:overflowPunct w:val="0"/>
        <w:adjustRightInd w:val="0"/>
        <w:spacing w:before="100" w:beforeAutospacing="1" w:after="100" w:afterAutospacing="1" w:line="590" w:lineRule="exact"/>
        <w:jc w:val="left"/>
        <w:textAlignment w:val="baseline"/>
        <w:rPr>
          <w:rFonts w:ascii="宋体" w:hAnsi="宋体" w:cs="宋体"/>
          <w:kern w:val="0"/>
          <w:sz w:val="24"/>
        </w:rPr>
      </w:pPr>
      <w:r>
        <w:rPr>
          <w:rFonts w:hint="eastAsia" w:ascii="Times New Roman" w:hAnsi="Times New Roman" w:eastAsia="仿宋_GB2312"/>
          <w:kern w:val="0"/>
          <w:sz w:val="32"/>
          <w:szCs w:val="32"/>
        </w:rPr>
        <w:t xml:space="preserve"> </w:t>
      </w:r>
    </w:p>
    <w:p>
      <w:pPr>
        <w:suppressAutoHyphens w:val="0"/>
        <w:rPr>
          <w:szCs w:val="22"/>
        </w:rPr>
      </w:pPr>
    </w:p>
    <w:p>
      <w:pPr>
        <w:overflowPunct w:val="0"/>
        <w:topLinePunct/>
        <w:adjustRightInd w:val="0"/>
        <w:spacing w:line="590" w:lineRule="exact"/>
        <w:ind w:firstLine="640" w:firstLineChars="200"/>
        <w:rPr>
          <w:rFonts w:ascii="Times New Roman" w:hAnsi="Times New Roman" w:eastAsia="方正楷体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X国家</w:t>
    </w:r>
    <w:r>
      <w:rPr>
        <w:rFonts w:hint="eastAsia" w:ascii="宋体" w:hAnsi="宋体" w:cs="宋体"/>
        <w:b/>
        <w:bCs/>
        <w:color w:val="005192"/>
        <w:sz w:val="28"/>
        <w:szCs w:val="44"/>
      </w:rPr>
      <w:t xml:space="preserve">宿州市税务局发布 </w:t>
    </w:r>
    <w:r>
      <w:rPr>
        <w:rFonts w:hint="eastAsia" w:ascii="宋体" w:hAnsi="宋体" w:cs="宋体"/>
        <w:color w:val="005192"/>
        <w:sz w:val="28"/>
        <w:szCs w:val="44"/>
      </w:rPr>
      <w:t xml:space="preserve">  </w:t>
    </w:r>
    <w:r>
      <w:rPr>
        <w:rFonts w:hint="eastAsia" w:ascii="宋体" w:hAnsi="宋体" w:cs="宋体"/>
        <w:b/>
        <w:bCs/>
        <w:color w:val="005192"/>
        <w:sz w:val="28"/>
        <w:szCs w:val="44"/>
      </w:rPr>
      <w:t xml:space="preserve">  </w:t>
    </w:r>
  </w:p>
  <w:p>
    <w:pPr>
      <w:pStyle w:val="9"/>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cs="宋体"/>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国家税务总局宿州市税务局行政规范性文件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0172A27"/>
    <w:rsid w:val="002414F6"/>
    <w:rsid w:val="00425ECF"/>
    <w:rsid w:val="006E3CFF"/>
    <w:rsid w:val="00760C9B"/>
    <w:rsid w:val="00804954"/>
    <w:rsid w:val="00897D57"/>
    <w:rsid w:val="009364F0"/>
    <w:rsid w:val="009910CE"/>
    <w:rsid w:val="009B7A9C"/>
    <w:rsid w:val="009F3136"/>
    <w:rsid w:val="00A64781"/>
    <w:rsid w:val="00F4314A"/>
    <w:rsid w:val="00FD611D"/>
    <w:rsid w:val="019E71BD"/>
    <w:rsid w:val="04B679C3"/>
    <w:rsid w:val="05E451B5"/>
    <w:rsid w:val="080F63D8"/>
    <w:rsid w:val="09341458"/>
    <w:rsid w:val="0B0912D7"/>
    <w:rsid w:val="0C227ABB"/>
    <w:rsid w:val="152D2DCA"/>
    <w:rsid w:val="16B35156"/>
    <w:rsid w:val="1A2170CF"/>
    <w:rsid w:val="1DEC284C"/>
    <w:rsid w:val="1E6523AC"/>
    <w:rsid w:val="22440422"/>
    <w:rsid w:val="2DF61A6F"/>
    <w:rsid w:val="31A15F24"/>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355A7"/>
    <w:rsid w:val="52F46F0B"/>
    <w:rsid w:val="53D8014D"/>
    <w:rsid w:val="55E064E0"/>
    <w:rsid w:val="572C6D10"/>
    <w:rsid w:val="5DC34279"/>
    <w:rsid w:val="5DC51367"/>
    <w:rsid w:val="5DCA16D1"/>
    <w:rsid w:val="608816D1"/>
    <w:rsid w:val="60AB3E26"/>
    <w:rsid w:val="60EF4E7F"/>
    <w:rsid w:val="665233C1"/>
    <w:rsid w:val="6AD9688B"/>
    <w:rsid w:val="6D0E3F22"/>
    <w:rsid w:val="70BC57B2"/>
    <w:rsid w:val="7143439E"/>
    <w:rsid w:val="79BF7377"/>
    <w:rsid w:val="7C9011D9"/>
    <w:rsid w:val="7DC651C5"/>
    <w:rsid w:val="7E692AD8"/>
    <w:rsid w:val="7EF10F7D"/>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9"/>
    <w:pPr>
      <w:widowControl/>
      <w:suppressAutoHyphens w:val="0"/>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14"/>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paragraph" w:styleId="11">
    <w:name w:val="Body Text First Indent 2"/>
    <w:basedOn w:val="6"/>
    <w:next w:val="1"/>
    <w:unhideWhenUsed/>
    <w:qFormat/>
    <w:uiPriority w:val="0"/>
    <w:pPr>
      <w:ind w:firstLine="420" w:firstLineChars="200"/>
    </w:pPr>
  </w:style>
  <w:style w:type="character" w:customStyle="1" w:styleId="14">
    <w:name w:val="批注框文本 Char"/>
    <w:basedOn w:val="13"/>
    <w:link w:val="7"/>
    <w:uiPriority w:val="0"/>
    <w:rPr>
      <w:rFonts w:ascii="Calibri" w:hAnsi="Calibri"/>
      <w:kern w:val="2"/>
      <w:sz w:val="18"/>
      <w:szCs w:val="18"/>
    </w:rPr>
  </w:style>
  <w:style w:type="character" w:customStyle="1" w:styleId="15">
    <w:name w:val="标题 1 Char"/>
    <w:basedOn w:val="13"/>
    <w:link w:val="3"/>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1455</Words>
  <Characters>306</Characters>
  <Lines>2</Lines>
  <Paragraphs>3</Paragraphs>
  <TotalTime>10</TotalTime>
  <ScaleCrop>false</ScaleCrop>
  <LinksUpToDate>false</LinksUpToDate>
  <CharactersWithSpaces>1758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2022-11-07T08:48:00Z</dcterms:created>
  <dc:creator>t</dc:creator>
  <cp:lastModifiedBy>张辉</cp:lastModifiedBy>
  <cp:lastPrinted>2021-10-26T03:30:00Z</cp:lastPrinted>
  <dcterms:modified xsi:type="dcterms:W3CDTF">2022-11-07T09:17:21Z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48C61CB29D3F4D9384F5922CF0F7FFB4</vt:lpwstr>
  </property>
</Properties>
</file>