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hint="eastAsia" w:asciiTheme="minorEastAsia" w:hAnsiTheme="minorEastAsia"/>
          <w:sz w:val="44"/>
          <w:szCs w:val="44"/>
        </w:rPr>
      </w:pPr>
      <w:r>
        <w:rPr>
          <w:rFonts w:hint="eastAsia" w:asciiTheme="minorEastAsia" w:hAnsiTheme="minorEastAsia"/>
          <w:sz w:val="44"/>
          <w:szCs w:val="44"/>
        </w:rPr>
        <w:t>《宿州市建设项目交通影响评价管理办法(试行)》政策解读</w:t>
      </w:r>
    </w:p>
    <w:p>
      <w:pPr>
        <w:spacing w:line="600" w:lineRule="exact"/>
        <w:ind w:firstLine="640" w:firstLineChars="200"/>
        <w:rPr>
          <w:rFonts w:hint="eastAsia" w:ascii="仿宋" w:hAnsi="仿宋" w:eastAsia="仿宋" w:cs="宋体"/>
          <w:color w:val="333333"/>
          <w:sz w:val="32"/>
          <w:szCs w:val="32"/>
          <w:shd w:val="clear" w:color="auto" w:fill="FFFFFF"/>
        </w:rPr>
      </w:pPr>
    </w:p>
    <w:p>
      <w:pPr>
        <w:spacing w:line="600" w:lineRule="exact"/>
        <w:ind w:firstLine="640" w:firstLineChars="200"/>
        <w:rPr>
          <w:rFonts w:ascii="仿宋" w:hAnsi="仿宋" w:eastAsia="仿宋" w:cs="宋体"/>
          <w:color w:val="333333"/>
          <w:sz w:val="32"/>
          <w:szCs w:val="32"/>
          <w:shd w:val="clear" w:color="auto" w:fill="FFFFFF"/>
        </w:rPr>
      </w:pPr>
      <w:bookmarkStart w:id="0" w:name="_GoBack"/>
      <w:bookmarkEnd w:id="0"/>
      <w:r>
        <w:rPr>
          <w:rFonts w:hint="eastAsia" w:ascii="仿宋" w:hAnsi="仿宋" w:eastAsia="仿宋" w:cs="宋体"/>
          <w:color w:val="333333"/>
          <w:sz w:val="32"/>
          <w:szCs w:val="32"/>
          <w:shd w:val="clear" w:color="auto" w:fill="FFFFFF"/>
        </w:rPr>
        <w:t>一、制定《办法》的背景依据</w:t>
      </w:r>
    </w:p>
    <w:p>
      <w:pPr>
        <w:spacing w:line="600" w:lineRule="exact"/>
        <w:ind w:firstLine="640" w:firstLineChars="200"/>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为促进城市空间利用和交通系统的协调发展，保障城市交通安全、有序、畅通，规范交通影响评价工作，根据《中华人民共和国道路交通安全法实施条例》、(建设项目交通影响评价技术标准》等规定，结合我市实际，制定本办法。</w:t>
      </w:r>
    </w:p>
    <w:p>
      <w:pPr>
        <w:spacing w:line="600" w:lineRule="exact"/>
        <w:ind w:firstLine="640" w:firstLineChars="200"/>
        <w:rPr>
          <w:rFonts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二、制定《办法》的意义</w:t>
      </w:r>
    </w:p>
    <w:p>
      <w:pPr>
        <w:pStyle w:val="4"/>
        <w:spacing w:before="0" w:beforeAutospacing="0" w:after="0" w:afterAutospacing="0" w:line="480" w:lineRule="atLeast"/>
        <w:ind w:firstLine="480"/>
        <w:rPr>
          <w:rFonts w:hint="eastAsia"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建设项目交通影响评价，是指对建设项目投入使用后，新生成交通需求对周围交通系统运行的影响程度进行预测、评价，并制定提出相应的对策措施、技术方法。简单的说，交通影响评价是为城市建设提供科学依据，保证土地有效利用，不浪费资源，保障交通设施建设有序，促进周边地区发展，形成良好交通网络。</w:t>
      </w:r>
    </w:p>
    <w:p>
      <w:pPr>
        <w:spacing w:line="600" w:lineRule="exact"/>
        <w:ind w:firstLine="640" w:firstLineChars="200"/>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三、交通影响评价的主要内容</w:t>
      </w:r>
    </w:p>
    <w:p>
      <w:pPr>
        <w:spacing w:line="600" w:lineRule="exact"/>
        <w:ind w:firstLine="640" w:firstLineChars="200"/>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（一）交通影响评价范围</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01"/>
        <w:gridCol w:w="3118"/>
        <w:gridCol w:w="43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3"/>
          </w:tcPr>
          <w:p>
            <w:pPr>
              <w:spacing w:line="600" w:lineRule="exact"/>
              <w:ind w:firstLine="640" w:firstLineChars="200"/>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序号</w:t>
            </w:r>
          </w:p>
        </w:tc>
        <w:tc>
          <w:tcPr>
            <w:tcW w:w="3118" w:type="dxa"/>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类别</w:t>
            </w:r>
          </w:p>
        </w:tc>
        <w:tc>
          <w:tcPr>
            <w:tcW w:w="4303" w:type="dxa"/>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交通影响评价启动阀值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1</w:t>
            </w:r>
          </w:p>
        </w:tc>
        <w:tc>
          <w:tcPr>
            <w:tcW w:w="3118" w:type="dxa"/>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住宅</w:t>
            </w:r>
          </w:p>
        </w:tc>
        <w:tc>
          <w:tcPr>
            <w:tcW w:w="4303" w:type="dxa"/>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建筑面积≥5万平方米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2</w:t>
            </w:r>
          </w:p>
        </w:tc>
        <w:tc>
          <w:tcPr>
            <w:tcW w:w="3118" w:type="dxa"/>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商业、服务、办企</w:t>
            </w:r>
          </w:p>
        </w:tc>
        <w:tc>
          <w:tcPr>
            <w:tcW w:w="4303" w:type="dxa"/>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 xml:space="preserve">建筑面积≥2万平方米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3</w:t>
            </w:r>
          </w:p>
        </w:tc>
        <w:tc>
          <w:tcPr>
            <w:tcW w:w="3118" w:type="dxa"/>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场馆、园林、医院</w:t>
            </w:r>
          </w:p>
        </w:tc>
        <w:tc>
          <w:tcPr>
            <w:tcW w:w="4303" w:type="dxa"/>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 xml:space="preserve">配建机动车停车泊位100以上的项目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4</w:t>
            </w:r>
          </w:p>
        </w:tc>
        <w:tc>
          <w:tcPr>
            <w:tcW w:w="3118" w:type="dxa"/>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学校</w:t>
            </w:r>
          </w:p>
        </w:tc>
        <w:tc>
          <w:tcPr>
            <w:tcW w:w="4303" w:type="dxa"/>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单独建设的学校类项目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0" w:hRule="atLeast"/>
        </w:trPr>
        <w:tc>
          <w:tcPr>
            <w:tcW w:w="1101" w:type="dxa"/>
            <w:tcBorders>
              <w:bottom w:val="single" w:color="auto" w:sz="4" w:space="0"/>
            </w:tcBorders>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5</w:t>
            </w:r>
          </w:p>
        </w:tc>
        <w:tc>
          <w:tcPr>
            <w:tcW w:w="3118" w:type="dxa"/>
            <w:tcBorders>
              <w:bottom w:val="single" w:color="auto" w:sz="4" w:space="0"/>
            </w:tcBorders>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交通</w:t>
            </w:r>
          </w:p>
        </w:tc>
        <w:tc>
          <w:tcPr>
            <w:tcW w:w="4303" w:type="dxa"/>
            <w:tcBorders>
              <w:bottom w:val="single" w:color="auto" w:sz="4" w:space="0"/>
            </w:tcBorders>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 xml:space="preserve">交通生功量大的交通类项目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0" w:hRule="atLeast"/>
        </w:trPr>
        <w:tc>
          <w:tcPr>
            <w:tcW w:w="1101" w:type="dxa"/>
            <w:tcBorders>
              <w:top w:val="single" w:color="auto" w:sz="4" w:space="0"/>
            </w:tcBorders>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6</w:t>
            </w:r>
          </w:p>
        </w:tc>
        <w:tc>
          <w:tcPr>
            <w:tcW w:w="3118" w:type="dxa"/>
            <w:tcBorders>
              <w:top w:val="single" w:color="auto" w:sz="4" w:space="0"/>
            </w:tcBorders>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混合类</w:t>
            </w:r>
          </w:p>
        </w:tc>
        <w:tc>
          <w:tcPr>
            <w:tcW w:w="4303" w:type="dxa"/>
            <w:tcBorders>
              <w:top w:val="single" w:color="auto" w:sz="4" w:space="0"/>
            </w:tcBorders>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包含本表1-5项中两种或两种以上的建设项目，总建筑面积或指标达到本表1-5页任一项启动阀值的混合类建设项目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85" w:hRule="atLeast"/>
        </w:trPr>
        <w:tc>
          <w:tcPr>
            <w:tcW w:w="1101" w:type="dxa"/>
            <w:tcBorders>
              <w:bottom w:val="single" w:color="auto" w:sz="4" w:space="0"/>
            </w:tcBorders>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7</w:t>
            </w:r>
          </w:p>
        </w:tc>
        <w:tc>
          <w:tcPr>
            <w:tcW w:w="7421" w:type="dxa"/>
            <w:gridSpan w:val="2"/>
            <w:tcBorders>
              <w:bottom w:val="single" w:color="auto" w:sz="4" w:space="0"/>
            </w:tcBorders>
          </w:tcPr>
          <w:p>
            <w:pPr>
              <w:spacing w:line="600" w:lineRule="exact"/>
              <w:ind w:firstLine="640" w:firstLineChars="200"/>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应当进行交通影响评价的其他建设项目</w:t>
            </w:r>
          </w:p>
        </w:tc>
      </w:tr>
    </w:tbl>
    <w:p>
      <w:pPr>
        <w:spacing w:line="600" w:lineRule="exact"/>
        <w:ind w:firstLine="640" w:firstLineChars="200"/>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（二）交通影响评价报告主要内容</w:t>
      </w:r>
    </w:p>
    <w:tbl>
      <w:tblPr>
        <w:tblStyle w:val="6"/>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01"/>
        <w:gridCol w:w="751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序号</w:t>
            </w:r>
          </w:p>
        </w:tc>
        <w:tc>
          <w:tcPr>
            <w:tcW w:w="7512" w:type="dxa"/>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1</w:t>
            </w:r>
          </w:p>
        </w:tc>
        <w:tc>
          <w:tcPr>
            <w:tcW w:w="7512" w:type="dxa"/>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建设项目概况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2</w:t>
            </w:r>
          </w:p>
        </w:tc>
        <w:tc>
          <w:tcPr>
            <w:tcW w:w="7512" w:type="dxa"/>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确定交通影响评价的范围与年限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3</w:t>
            </w:r>
          </w:p>
        </w:tc>
        <w:tc>
          <w:tcPr>
            <w:tcW w:w="7512" w:type="dxa"/>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进行相关调查和资料收集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4</w:t>
            </w:r>
          </w:p>
        </w:tc>
        <w:tc>
          <w:tcPr>
            <w:tcW w:w="7512" w:type="dxa"/>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分析评价范围内现状、各评价年限的土地利用与交通系统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5</w:t>
            </w:r>
          </w:p>
        </w:tc>
        <w:tc>
          <w:tcPr>
            <w:tcW w:w="7512" w:type="dxa"/>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分析交通需求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6</w:t>
            </w:r>
          </w:p>
        </w:tc>
        <w:tc>
          <w:tcPr>
            <w:tcW w:w="7512" w:type="dxa"/>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交通影响程度评价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0" w:hRule="atLeast"/>
        </w:trPr>
        <w:tc>
          <w:tcPr>
            <w:tcW w:w="1101" w:type="dxa"/>
            <w:tcBorders>
              <w:bottom w:val="single" w:color="auto" w:sz="4" w:space="0"/>
            </w:tcBorders>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7</w:t>
            </w:r>
          </w:p>
        </w:tc>
        <w:tc>
          <w:tcPr>
            <w:tcW w:w="7512" w:type="dxa"/>
            <w:tcBorders>
              <w:bottom w:val="single" w:color="auto" w:sz="4" w:space="0"/>
            </w:tcBorders>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提出对建设项目评价范围内的交通系统、建设项目选址、建设项目报审方案的改善建议，并对改善措施进行评价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85" w:hRule="atLeast"/>
        </w:trPr>
        <w:tc>
          <w:tcPr>
            <w:tcW w:w="1101" w:type="dxa"/>
            <w:tcBorders>
              <w:top w:val="single" w:color="auto" w:sz="4" w:space="0"/>
            </w:tcBorders>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8</w:t>
            </w:r>
          </w:p>
        </w:tc>
        <w:tc>
          <w:tcPr>
            <w:tcW w:w="7512" w:type="dxa"/>
            <w:tcBorders>
              <w:top w:val="single" w:color="auto" w:sz="4" w:space="0"/>
            </w:tcBorders>
          </w:tcPr>
          <w:p>
            <w:pPr>
              <w:spacing w:line="600" w:lineRule="exact"/>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结论与建议</w:t>
            </w:r>
          </w:p>
        </w:tc>
      </w:tr>
    </w:tbl>
    <w:p>
      <w:pPr>
        <w:spacing w:line="600" w:lineRule="exact"/>
        <w:ind w:firstLine="640" w:firstLineChars="200"/>
        <w:rPr>
          <w:rFonts w:hint="eastAsia" w:ascii="仿宋" w:hAnsi="仿宋" w:eastAsia="仿宋" w:cs="宋体"/>
          <w:color w:val="333333"/>
          <w:sz w:val="32"/>
          <w:szCs w:val="32"/>
          <w:shd w:val="clear" w:color="auto" w:fill="FFFFFF"/>
        </w:rPr>
      </w:pPr>
      <w:r>
        <w:rPr>
          <w:rFonts w:hint="eastAsia" w:ascii="仿宋" w:hAnsi="仿宋" w:eastAsia="仿宋" w:cs="宋体"/>
          <w:color w:val="333333"/>
          <w:sz w:val="32"/>
          <w:szCs w:val="32"/>
          <w:shd w:val="clear" w:color="auto" w:fill="FFFFFF"/>
        </w:rPr>
        <w:t>四、交通影响评价报告的审查</w:t>
      </w:r>
    </w:p>
    <w:p>
      <w:pPr>
        <w:pStyle w:val="4"/>
        <w:spacing w:before="0" w:beforeAutospacing="0" w:after="0" w:afterAutospacing="0" w:line="480" w:lineRule="atLeast"/>
        <w:ind w:firstLine="480"/>
        <w:rPr>
          <w:rFonts w:ascii="仿宋" w:hAnsi="仿宋" w:eastAsia="仿宋" w:cs="方正黑体_GBK"/>
          <w:color w:val="333333"/>
          <w:kern w:val="2"/>
          <w:sz w:val="32"/>
          <w:szCs w:val="32"/>
          <w:shd w:val="clear" w:color="auto" w:fill="FFFFFF"/>
        </w:rPr>
      </w:pPr>
      <w:r>
        <w:rPr>
          <w:rFonts w:hint="eastAsia" w:ascii="仿宋" w:hAnsi="仿宋" w:eastAsia="仿宋" w:cs="方正黑体_GBK"/>
          <w:color w:val="333333"/>
          <w:kern w:val="2"/>
          <w:sz w:val="32"/>
          <w:szCs w:val="32"/>
          <w:shd w:val="clear" w:color="auto" w:fill="FFFFFF"/>
        </w:rPr>
        <w:t>按照《办法》规定，分为三个步骤:一是提出审查。委托编制交通影响评价报告的单位向公安机关交通管理部门提交《交通影响评价报告》及评审申请。二是组织审查。公安交通管理部门应当自收到《建设项目交通影响评价报告》之日起十个工作日内，提出审查意见并回复建设单位。对于重大或者交通影响比较复杂的建设项目，公安交通管理部门组织对建设单位报送的建设项目交通影响评价报告进行评审。三是修改完善。建设项目的业主单位须按审查论证意见对《建设项目交通影响评价报告》进行修改完善，并形成最终文件；若专家论证或技术审查认为不合格，建设单位必须按审查论证意见对《建设项目交通影响评价报告》进行修改完善后，重新组织报审。</w:t>
      </w:r>
    </w:p>
    <w:p>
      <w:pPr>
        <w:spacing w:line="600" w:lineRule="exact"/>
        <w:ind w:firstLine="960" w:firstLineChars="300"/>
        <w:jc w:val="left"/>
        <w:rPr>
          <w:rFonts w:ascii="仿宋" w:hAnsi="仿宋" w:eastAsia="仿宋" w:cs="方正黑体_GBK"/>
          <w:sz w:val="32"/>
          <w:szCs w:val="32"/>
        </w:rPr>
      </w:pPr>
      <w:r>
        <w:rPr>
          <w:rFonts w:hint="eastAsia" w:ascii="仿宋" w:hAnsi="仿宋" w:eastAsia="仿宋" w:cs="方正黑体_GBK"/>
          <w:sz w:val="32"/>
          <w:szCs w:val="32"/>
        </w:rPr>
        <w:t>五、</w:t>
      </w:r>
      <w:r>
        <w:rPr>
          <w:rFonts w:hint="eastAsia" w:ascii="仿宋" w:hAnsi="仿宋" w:eastAsia="仿宋" w:cs="方正黑体_GBK"/>
          <w:color w:val="333333"/>
          <w:sz w:val="32"/>
          <w:szCs w:val="32"/>
          <w:shd w:val="clear" w:color="auto" w:fill="FFFFFF"/>
        </w:rPr>
        <w:t>解读人及政策咨询服务电话</w:t>
      </w:r>
    </w:p>
    <w:p>
      <w:pPr>
        <w:pStyle w:val="4"/>
        <w:shd w:val="clear" w:color="auto" w:fill="FFFFFF"/>
        <w:spacing w:beforeAutospacing="0" w:afterAutospacing="0" w:line="600" w:lineRule="exact"/>
        <w:ind w:firstLine="640" w:firstLineChars="200"/>
        <w:jc w:val="both"/>
        <w:rPr>
          <w:rFonts w:ascii="仿宋" w:hAnsi="仿宋" w:eastAsia="仿宋" w:cs="方正仿宋_GBK"/>
          <w:kern w:val="2"/>
          <w:sz w:val="32"/>
          <w:szCs w:val="32"/>
        </w:rPr>
      </w:pPr>
      <w:r>
        <w:rPr>
          <w:rFonts w:hint="eastAsia" w:ascii="仿宋" w:hAnsi="仿宋" w:eastAsia="仿宋" w:cs="方正仿宋_GBK"/>
          <w:kern w:val="2"/>
          <w:sz w:val="32"/>
          <w:szCs w:val="32"/>
        </w:rPr>
        <w:t>解读人：徐伟</w:t>
      </w:r>
    </w:p>
    <w:p>
      <w:pPr>
        <w:pStyle w:val="4"/>
        <w:shd w:val="clear" w:color="auto" w:fill="FFFFFF"/>
        <w:spacing w:beforeAutospacing="0" w:afterAutospacing="0" w:line="600" w:lineRule="exact"/>
        <w:ind w:firstLine="420"/>
        <w:jc w:val="both"/>
        <w:rPr>
          <w:rFonts w:ascii="仿宋" w:hAnsi="仿宋" w:eastAsia="仿宋"/>
        </w:rPr>
      </w:pPr>
      <w:r>
        <w:rPr>
          <w:rFonts w:hint="eastAsia" w:ascii="仿宋" w:hAnsi="仿宋" w:eastAsia="仿宋" w:cs="方正仿宋_GBK"/>
          <w:kern w:val="2"/>
          <w:sz w:val="32"/>
          <w:szCs w:val="32"/>
        </w:rPr>
        <w:t>咨询电话：0557-39</w:t>
      </w:r>
      <w:r>
        <w:rPr>
          <w:rFonts w:ascii="仿宋" w:hAnsi="仿宋" w:eastAsia="仿宋" w:cs="方正仿宋_GBK"/>
          <w:kern w:val="2"/>
          <w:sz w:val="32"/>
          <w:szCs w:val="32"/>
        </w:rPr>
        <w:t>15375</w:t>
      </w:r>
    </w:p>
    <w:p>
      <w:pPr>
        <w:spacing w:line="600" w:lineRule="exact"/>
        <w:ind w:firstLine="640" w:firstLineChars="200"/>
        <w:rPr>
          <w:rFonts w:hint="eastAsia"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5ODEyY2RjNmQ4MmU1MzVlOTVjZmFlYTUwMDIzZTAifQ=="/>
  </w:docVars>
  <w:rsids>
    <w:rsidRoot w:val="00BF0F80"/>
    <w:rsid w:val="000046C1"/>
    <w:rsid w:val="000110CF"/>
    <w:rsid w:val="00105451"/>
    <w:rsid w:val="0023793F"/>
    <w:rsid w:val="0030392A"/>
    <w:rsid w:val="003076BC"/>
    <w:rsid w:val="00341BB9"/>
    <w:rsid w:val="003F392C"/>
    <w:rsid w:val="00425926"/>
    <w:rsid w:val="005239BE"/>
    <w:rsid w:val="00573108"/>
    <w:rsid w:val="005F27AC"/>
    <w:rsid w:val="006150C0"/>
    <w:rsid w:val="006536D5"/>
    <w:rsid w:val="0080604A"/>
    <w:rsid w:val="009309D3"/>
    <w:rsid w:val="009936B0"/>
    <w:rsid w:val="009A6850"/>
    <w:rsid w:val="00A025FD"/>
    <w:rsid w:val="00A35DE4"/>
    <w:rsid w:val="00A45751"/>
    <w:rsid w:val="00A52E92"/>
    <w:rsid w:val="00B85E69"/>
    <w:rsid w:val="00BC5115"/>
    <w:rsid w:val="00BF0F80"/>
    <w:rsid w:val="00C96328"/>
    <w:rsid w:val="00CB62AE"/>
    <w:rsid w:val="00D515E4"/>
    <w:rsid w:val="00D94384"/>
    <w:rsid w:val="00E41E75"/>
    <w:rsid w:val="00E50665"/>
    <w:rsid w:val="00ED03D5"/>
    <w:rsid w:val="00F9761C"/>
    <w:rsid w:val="2A986818"/>
    <w:rsid w:val="495334AD"/>
    <w:rsid w:val="59640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1033</Words>
  <Characters>1054</Characters>
  <Lines>8</Lines>
  <Paragraphs>2</Paragraphs>
  <TotalTime>178</TotalTime>
  <ScaleCrop>false</ScaleCrop>
  <LinksUpToDate>false</LinksUpToDate>
  <CharactersWithSpaces>1067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2022-10-06T08:55:00Z</dcterms:created>
  <dc:creator>user</dc:creator>
  <cp:lastModifiedBy>Administrator</cp:lastModifiedBy>
  <dcterms:modified xsi:type="dcterms:W3CDTF">2022-10-10T09:33:54Z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8FE467E34EA044AF9CFAD3FD2AEE0EF7</vt:lpwstr>
  </property>
</Properties>
</file>