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1" w:lineRule="atLeast"/>
        <w:ind w:left="0" w:right="0"/>
        <w:jc w:val="center"/>
        <w:rPr>
          <w:rFonts w:hint="eastAsia" w:ascii="仿宋" w:hAnsi="仿宋" w:eastAsia="仿宋" w:cs="仿宋"/>
          <w:b/>
          <w:bCs/>
          <w:color w:val="333333"/>
          <w:sz w:val="28"/>
          <w:szCs w:val="28"/>
          <w:bdr w:val="none" w:color="auto" w:sz="0" w:space="0"/>
          <w:shd w:val="clear" w:fill="FFFFFF"/>
        </w:rPr>
      </w:pPr>
      <w:r>
        <w:rPr>
          <w:rFonts w:hint="eastAsia" w:ascii="仿宋" w:hAnsi="仿宋" w:eastAsia="仿宋" w:cs="仿宋"/>
          <w:b/>
          <w:bCs/>
          <w:color w:val="333333"/>
          <w:sz w:val="28"/>
          <w:szCs w:val="28"/>
          <w:bdr w:val="none" w:color="auto" w:sz="0" w:space="0"/>
          <w:shd w:val="clear" w:fill="FFFFFF"/>
        </w:rPr>
        <w:t>《宿州市公共资源交易中心电子交易服务系统数据规范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1" w:lineRule="atLeast"/>
        <w:ind w:left="0" w:right="0"/>
        <w:jc w:val="center"/>
        <w:rPr>
          <w:rFonts w:hint="eastAsia" w:ascii="仿宋" w:hAnsi="仿宋" w:eastAsia="仿宋" w:cs="仿宋"/>
          <w:b/>
          <w:bCs/>
          <w:sz w:val="28"/>
          <w:szCs w:val="28"/>
          <w:lang w:val="en-US" w:eastAsia="zh-CN"/>
        </w:rPr>
      </w:pPr>
      <w:r>
        <w:rPr>
          <w:rFonts w:hint="eastAsia" w:ascii="仿宋" w:hAnsi="仿宋" w:eastAsia="仿宋" w:cs="仿宋"/>
          <w:b/>
          <w:bCs/>
          <w:color w:val="333333"/>
          <w:sz w:val="28"/>
          <w:szCs w:val="28"/>
          <w:bdr w:val="none" w:color="auto" w:sz="0" w:space="0"/>
          <w:shd w:val="clear" w:fill="FFFFFF"/>
        </w:rPr>
        <w:t>（征求意见稿）》</w:t>
      </w:r>
      <w:r>
        <w:rPr>
          <w:rFonts w:hint="eastAsia" w:ascii="仿宋" w:hAnsi="仿宋" w:eastAsia="仿宋" w:cs="仿宋"/>
          <w:b/>
          <w:bCs/>
          <w:color w:val="333333"/>
          <w:sz w:val="28"/>
          <w:szCs w:val="28"/>
          <w:bdr w:val="none" w:color="auto" w:sz="0" w:space="0"/>
          <w:shd w:val="clear" w:fill="FFFFFF"/>
          <w:lang w:val="en-US" w:eastAsia="zh-CN"/>
        </w:rPr>
        <w:t>起草说明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1" w:lineRule="atLeast"/>
        <w:ind w:left="0" w:right="0" w:firstLine="560" w:firstLineChars="200"/>
        <w:jc w:val="left"/>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color w:val="333333"/>
          <w:sz w:val="28"/>
          <w:szCs w:val="28"/>
          <w:shd w:val="clear" w:fill="FFFFFF"/>
        </w:rPr>
        <w:t>为深入贯彻《关于深化公共资源交易平台整合共享的指导意见》，推进我市公共资源交易服务平台开放</w:t>
      </w:r>
      <w:r>
        <w:rPr>
          <w:rFonts w:hint="eastAsia" w:ascii="仿宋" w:hAnsi="仿宋" w:eastAsia="仿宋" w:cs="仿宋"/>
          <w:color w:val="333333"/>
          <w:sz w:val="28"/>
          <w:szCs w:val="28"/>
          <w:shd w:val="clear" w:fill="FFFFFF"/>
          <w:lang w:val="en-US" w:eastAsia="zh-CN"/>
        </w:rPr>
        <w:t>联通</w:t>
      </w:r>
      <w:r>
        <w:rPr>
          <w:rFonts w:hint="eastAsia" w:ascii="仿宋" w:hAnsi="仿宋" w:eastAsia="仿宋" w:cs="仿宋"/>
          <w:color w:val="333333"/>
          <w:sz w:val="28"/>
          <w:szCs w:val="28"/>
          <w:shd w:val="clear" w:fill="FFFFFF"/>
        </w:rPr>
        <w:t>，</w:t>
      </w:r>
      <w:r>
        <w:rPr>
          <w:rFonts w:hint="eastAsia" w:ascii="仿宋" w:hAnsi="仿宋" w:eastAsia="仿宋" w:cs="仿宋"/>
          <w:color w:val="333333"/>
          <w:sz w:val="28"/>
          <w:szCs w:val="28"/>
          <w:shd w:val="clear" w:fill="FFFFFF"/>
        </w:rPr>
        <w:t>促进数据的汇聚共享，</w:t>
      </w:r>
      <w:r>
        <w:rPr>
          <w:rFonts w:hint="eastAsia" w:ascii="仿宋" w:hAnsi="仿宋" w:eastAsia="仿宋" w:cs="仿宋"/>
          <w:color w:val="333333"/>
          <w:sz w:val="28"/>
          <w:szCs w:val="28"/>
          <w:shd w:val="clear" w:fill="FFFFFF"/>
        </w:rPr>
        <w:t>根据《公共资源交易平台管理暂行办法》“公共资源交易平台应当按照国家统一的技术标准和数据规范”的要求，</w:t>
      </w:r>
      <w:r>
        <w:rPr>
          <w:rFonts w:hint="eastAsia" w:ascii="仿宋" w:hAnsi="仿宋" w:eastAsia="仿宋" w:cs="仿宋"/>
          <w:i w:val="0"/>
          <w:iCs w:val="0"/>
          <w:caps w:val="0"/>
          <w:color w:val="333333"/>
          <w:spacing w:val="0"/>
          <w:kern w:val="0"/>
          <w:sz w:val="28"/>
          <w:szCs w:val="28"/>
          <w:shd w:val="clear" w:color="auto" w:fill="FFFFFF"/>
          <w:lang w:val="en-US" w:eastAsia="zh-CN" w:bidi="ar"/>
        </w:rPr>
        <w:t>中心适时提出了电子档案管理相关标准的编制。目</w:t>
      </w:r>
      <w:r>
        <w:rPr>
          <w:rFonts w:hint="eastAsia" w:ascii="仿宋" w:hAnsi="仿宋" w:eastAsia="仿宋" w:cs="仿宋"/>
          <w:b w:val="0"/>
          <w:bCs w:val="0"/>
          <w:i w:val="0"/>
          <w:iCs w:val="0"/>
          <w:caps w:val="0"/>
          <w:color w:val="333333"/>
          <w:spacing w:val="0"/>
          <w:kern w:val="0"/>
          <w:sz w:val="28"/>
          <w:szCs w:val="28"/>
          <w:shd w:val="clear" w:color="auto" w:fill="FFFFFF"/>
          <w:lang w:val="en-US" w:eastAsia="zh-CN" w:bidi="ar"/>
        </w:rPr>
        <w:t>前，中心《宿州市公共资源交易中心电子交易服务系统数据规范（征求意见稿）》（</w:t>
      </w:r>
      <w:r>
        <w:rPr>
          <w:rFonts w:hint="eastAsia" w:ascii="仿宋" w:hAnsi="仿宋" w:eastAsia="仿宋" w:cs="仿宋"/>
          <w:i w:val="0"/>
          <w:iCs w:val="0"/>
          <w:caps w:val="0"/>
          <w:color w:val="333333"/>
          <w:spacing w:val="0"/>
          <w:kern w:val="0"/>
          <w:sz w:val="28"/>
          <w:szCs w:val="28"/>
          <w:shd w:val="clear" w:color="auto" w:fill="FFFFFF"/>
          <w:lang w:val="en-US" w:eastAsia="zh-CN" w:bidi="ar"/>
        </w:rPr>
        <w:t>以下简称《规范》）已初步编制完成，现就有关情况说明如下。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lang w:val="en-US" w:eastAsia="zh-CN"/>
        </w:rPr>
      </w:pPr>
      <w:r>
        <w:rPr>
          <w:rFonts w:hint="eastAsia" w:ascii="仿宋" w:hAnsi="仿宋" w:eastAsia="仿宋" w:cs="仿宋"/>
          <w:i w:val="0"/>
          <w:iCs w:val="0"/>
          <w:caps w:val="0"/>
          <w:color w:val="333333"/>
          <w:spacing w:val="0"/>
          <w:kern w:val="0"/>
          <w:sz w:val="28"/>
          <w:szCs w:val="28"/>
          <w:shd w:val="clear" w:color="auto" w:fill="FFFFFF"/>
          <w:lang w:val="en-US" w:eastAsia="zh-CN" w:bidi="ar"/>
        </w:rPr>
        <w:t>制定的必要性</w:t>
      </w:r>
    </w:p>
    <w:p>
      <w:pPr>
        <w:pStyle w:val="2"/>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(一)利于降低交易成本和提高资源的配置效率</w:t>
      </w:r>
    </w:p>
    <w:p>
      <w:pPr>
        <w:pStyle w:val="2"/>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公共资源交易平</w:t>
      </w:r>
      <w:r>
        <w:rPr>
          <w:rFonts w:hint="eastAsia" w:ascii="仿宋" w:hAnsi="仿宋" w:eastAsia="仿宋" w:cs="仿宋"/>
          <w:i w:val="0"/>
          <w:iCs w:val="0"/>
          <w:caps w:val="0"/>
          <w:color w:val="333333"/>
          <w:spacing w:val="0"/>
          <w:kern w:val="0"/>
          <w:sz w:val="28"/>
          <w:szCs w:val="28"/>
          <w:shd w:val="clear" w:color="auto" w:fill="FFFFFF"/>
          <w:lang w:val="en-US" w:eastAsia="zh-CN" w:bidi="ar"/>
        </w:rPr>
        <w:t>台电子交易服务系统数据规范为促进和规范公共资源交易活动提供依据。建立公共资源交易</w:t>
      </w:r>
      <w:r>
        <w:rPr>
          <w:rFonts w:hint="eastAsia" w:ascii="仿宋" w:hAnsi="仿宋" w:eastAsia="仿宋" w:cs="仿宋"/>
          <w:i w:val="0"/>
          <w:iCs w:val="0"/>
          <w:caps w:val="0"/>
          <w:color w:val="333333"/>
          <w:spacing w:val="0"/>
          <w:kern w:val="0"/>
          <w:sz w:val="28"/>
          <w:szCs w:val="28"/>
          <w:shd w:val="clear" w:color="auto" w:fill="FFFFFF"/>
          <w:lang w:val="en-US" w:eastAsia="zh-CN" w:bidi="ar"/>
        </w:rPr>
        <w:t>一体化数据规范,有利于不同领域交易规则统一，有利于电子交易系统一体化建设，促进人流、物流、资金流等各种要素自由流动。</w:t>
      </w:r>
    </w:p>
    <w:p>
      <w:pPr>
        <w:pStyle w:val="2"/>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（二）</w:t>
      </w:r>
      <w:r>
        <w:rPr>
          <w:rFonts w:hint="eastAsia" w:ascii="仿宋" w:hAnsi="仿宋" w:eastAsia="仿宋" w:cs="仿宋"/>
          <w:i w:val="0"/>
          <w:iCs w:val="0"/>
          <w:caps w:val="0"/>
          <w:color w:val="333333"/>
          <w:spacing w:val="0"/>
          <w:kern w:val="0"/>
          <w:sz w:val="28"/>
          <w:szCs w:val="28"/>
          <w:shd w:val="clear" w:color="auto" w:fill="FFFFFF"/>
          <w:lang w:val="en-US" w:eastAsia="zh-CN" w:bidi="ar"/>
        </w:rPr>
        <w:t>利于</w:t>
      </w:r>
      <w:r>
        <w:rPr>
          <w:rFonts w:hint="eastAsia" w:ascii="仿宋" w:hAnsi="仿宋" w:eastAsia="仿宋" w:cs="仿宋"/>
          <w:i w:val="0"/>
          <w:iCs w:val="0"/>
          <w:caps w:val="0"/>
          <w:color w:val="333333"/>
          <w:spacing w:val="0"/>
          <w:kern w:val="0"/>
          <w:sz w:val="28"/>
          <w:szCs w:val="28"/>
          <w:shd w:val="clear" w:color="auto" w:fill="FFFFFF"/>
          <w:lang w:val="en-US" w:eastAsia="zh-CN" w:bidi="ar"/>
        </w:rPr>
        <w:t>实现公共资源交易平台从有形到无形的转变</w:t>
      </w:r>
    </w:p>
    <w:p>
      <w:pPr>
        <w:pStyle w:val="2"/>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公共资源交易平台系统数据规范有助于全国范围内规则统一、过程透明、服务高效、监督有效的公共资源交易平台体系的建设和形成，有助于全国范围内大数据系统的建立。通过提供交换数据技术标准，为公共资源交易全过程电子化奠定了基础。为实现公共资源交易平台物理整合转向生态整合、从依托有形交易市场向无形的电子化平台转变,为跨层级、跨地域、跨系统、跨部门、跨业务的系统对接搭建了桥梁。打破不同领域的信息壁垒，形成了公共资源领域完整的大数据，实现信息统一发布查询、全国范围内大数据共享和深度应用，可推动公共资源交易市场从“有形”到“无形”的快速转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二、起草过程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一是系统梳理和参照国家省市有关规范文本。《规范》依照《</w:t>
      </w:r>
      <w:r>
        <w:rPr>
          <w:rFonts w:hint="eastAsia" w:ascii="仿宋" w:hAnsi="仿宋" w:eastAsia="仿宋" w:cs="仿宋"/>
          <w:color w:val="333333"/>
          <w:sz w:val="28"/>
          <w:szCs w:val="28"/>
          <w:shd w:val="clear" w:fill="FFFFFF"/>
        </w:rPr>
        <w:t>2018年9月国家发展改革委联合财政部、自然资源部、国资委印发《公共资源交易平台系统数据规范(V2.0)》（发改办法规〔2018〕 1156号)</w:t>
      </w:r>
      <w:r>
        <w:rPr>
          <w:rFonts w:hint="eastAsia" w:ascii="仿宋" w:hAnsi="仿宋" w:eastAsia="仿宋" w:cs="仿宋"/>
          <w:i w:val="0"/>
          <w:iCs w:val="0"/>
          <w:caps w:val="0"/>
          <w:color w:val="333333"/>
          <w:spacing w:val="0"/>
          <w:kern w:val="0"/>
          <w:sz w:val="28"/>
          <w:szCs w:val="28"/>
          <w:shd w:val="clear" w:color="auto" w:fill="FFFFFF"/>
          <w:lang w:val="en-US" w:eastAsia="zh-CN" w:bidi="ar"/>
        </w:rPr>
        <w:t>进行拟定。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二是积极调查研学并借鉴其他省市先进经验。扎实开展《规范》前期研究工作，总结关于</w:t>
      </w:r>
      <w:r>
        <w:rPr>
          <w:rFonts w:hint="eastAsia" w:ascii="仿宋" w:hAnsi="仿宋" w:eastAsia="仿宋" w:cs="仿宋"/>
          <w:b w:val="0"/>
          <w:bCs w:val="0"/>
          <w:i w:val="0"/>
          <w:iCs w:val="0"/>
          <w:caps w:val="0"/>
          <w:color w:val="333333"/>
          <w:spacing w:val="0"/>
          <w:kern w:val="0"/>
          <w:sz w:val="28"/>
          <w:szCs w:val="28"/>
          <w:shd w:val="clear" w:color="auto" w:fill="FFFFFF"/>
          <w:lang w:val="en-US" w:eastAsia="zh-CN" w:bidi="ar"/>
        </w:rPr>
        <w:t>电子交易服务系统数据规范得</w:t>
      </w:r>
      <w:r>
        <w:rPr>
          <w:rFonts w:hint="eastAsia" w:ascii="仿宋" w:hAnsi="仿宋" w:eastAsia="仿宋" w:cs="仿宋"/>
          <w:i w:val="0"/>
          <w:iCs w:val="0"/>
          <w:caps w:val="0"/>
          <w:color w:val="333333"/>
          <w:spacing w:val="0"/>
          <w:kern w:val="0"/>
          <w:sz w:val="28"/>
          <w:szCs w:val="28"/>
          <w:shd w:val="clear" w:color="auto" w:fill="FFFFFF"/>
          <w:lang w:val="en-US" w:eastAsia="zh-CN" w:bidi="ar"/>
        </w:rPr>
        <w:t>先进经验做法，并根据我市实际情况积极改进，兼收并蓄。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三是深入调查研学后起草并负责后续完善，2020年8月《规范》制定工作启动，并于2021年10月确定《规范（草稿）》，经中心主任办公会研究，并征求中心科室意见建议修订《规范（草稿）》；2021年11月至12月充分征求了相关市场主体代表、各县区公共资源交易中心和关心公共资源交易事业发展的群众等意见建议，形成</w:t>
      </w:r>
      <w:r>
        <w:rPr>
          <w:rFonts w:hint="eastAsia" w:ascii="仿宋" w:hAnsi="仿宋" w:eastAsia="仿宋" w:cs="仿宋"/>
          <w:b w:val="0"/>
          <w:bCs w:val="0"/>
          <w:i w:val="0"/>
          <w:iCs w:val="0"/>
          <w:caps w:val="0"/>
          <w:color w:val="333333"/>
          <w:spacing w:val="0"/>
          <w:kern w:val="0"/>
          <w:sz w:val="28"/>
          <w:szCs w:val="28"/>
          <w:shd w:val="clear" w:color="auto" w:fill="FFFFFF"/>
          <w:lang w:val="en-US" w:eastAsia="zh-CN" w:bidi="ar"/>
        </w:rPr>
        <w:t>《宿州市公共资源交易中心电子交易服务系统数据规范（征求意见稿）》</w:t>
      </w:r>
      <w:r>
        <w:rPr>
          <w:rFonts w:hint="eastAsia" w:ascii="仿宋" w:hAnsi="仿宋" w:eastAsia="仿宋" w:cs="仿宋"/>
          <w:i w:val="0"/>
          <w:iCs w:val="0"/>
          <w:caps w:val="0"/>
          <w:color w:val="333333"/>
          <w:spacing w:val="0"/>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三、主要内容</w:t>
      </w:r>
    </w:p>
    <w:p>
      <w:pPr>
        <w:ind w:firstLine="560" w:firstLineChars="200"/>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《规范》涵盖电子交易基本流程、数据交换架构图、硬件及网络资源、开发内容、第三方对接要求、数据规范六块内容及附录三则。</w:t>
      </w:r>
    </w:p>
    <w:p>
      <w:pPr>
        <w:pStyle w:val="2"/>
        <w:numPr>
          <w:ilvl w:val="0"/>
          <w:numId w:val="2"/>
        </w:numPr>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电子交易基本流程：具体涵盖电子交易基本流程依据规章及主要环节。</w:t>
      </w:r>
    </w:p>
    <w:p>
      <w:pPr>
        <w:pStyle w:val="2"/>
        <w:numPr>
          <w:ilvl w:val="0"/>
          <w:numId w:val="2"/>
        </w:numPr>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数据交换架构图：具体涵盖架构图和架构描述。</w:t>
      </w:r>
    </w:p>
    <w:p>
      <w:pPr>
        <w:pStyle w:val="2"/>
        <w:numPr>
          <w:ilvl w:val="0"/>
          <w:numId w:val="2"/>
        </w:numPr>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硬件及网络资源：具体涵盖服务器要求。</w:t>
      </w:r>
    </w:p>
    <w:p>
      <w:pPr>
        <w:pStyle w:val="2"/>
        <w:numPr>
          <w:ilvl w:val="0"/>
          <w:numId w:val="2"/>
        </w:numPr>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开发内容：具体改造涉及业务改造、数据交换、</w:t>
      </w:r>
      <w:r>
        <w:rPr>
          <w:rFonts w:hint="eastAsia" w:ascii="宋体" w:hAnsi="宋体" w:cs="宋体"/>
          <w:color w:val="000000"/>
          <w:kern w:val="0"/>
          <w:sz w:val="28"/>
          <w:szCs w:val="28"/>
        </w:rPr>
        <w:t>CA对接</w:t>
      </w:r>
      <w:r>
        <w:rPr>
          <w:rFonts w:hint="eastAsia" w:ascii="宋体" w:hAnsi="宋体" w:cs="宋体"/>
          <w:color w:val="000000"/>
          <w:kern w:val="0"/>
          <w:sz w:val="28"/>
          <w:szCs w:val="28"/>
          <w:lang w:val="en-US" w:eastAsia="zh-CN"/>
        </w:rPr>
        <w:t>三大块。</w:t>
      </w:r>
    </w:p>
    <w:p>
      <w:pPr>
        <w:pStyle w:val="2"/>
        <w:numPr>
          <w:ilvl w:val="0"/>
          <w:numId w:val="2"/>
        </w:numPr>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第三方对接要求。</w:t>
      </w:r>
    </w:p>
    <w:p>
      <w:pPr>
        <w:pStyle w:val="2"/>
        <w:numPr>
          <w:ilvl w:val="0"/>
          <w:numId w:val="2"/>
        </w:numPr>
        <w:rPr>
          <w:rFonts w:hint="eastAsia"/>
          <w:sz w:val="32"/>
          <w:szCs w:val="32"/>
          <w:lang w:val="en-US" w:eastAsia="zh-CN"/>
        </w:rPr>
      </w:pPr>
      <w:r>
        <w:rPr>
          <w:rFonts w:hint="eastAsia" w:ascii="仿宋" w:hAnsi="仿宋" w:eastAsia="仿宋" w:cs="仿宋"/>
          <w:i w:val="0"/>
          <w:iCs w:val="0"/>
          <w:caps w:val="0"/>
          <w:color w:val="333333"/>
          <w:spacing w:val="0"/>
          <w:kern w:val="0"/>
          <w:sz w:val="28"/>
          <w:szCs w:val="28"/>
          <w:shd w:val="clear" w:color="auto" w:fill="FFFFFF"/>
          <w:lang w:val="en-US" w:eastAsia="zh-CN" w:bidi="ar"/>
        </w:rPr>
        <w:t>数据规范：涵盖总则、基本规定、基础数据要</w:t>
      </w:r>
      <w:bookmarkStart w:id="0" w:name="_GoBack"/>
      <w:bookmarkEnd w:id="0"/>
      <w:r>
        <w:rPr>
          <w:rFonts w:hint="eastAsia" w:ascii="仿宋" w:hAnsi="仿宋" w:eastAsia="仿宋" w:cs="仿宋"/>
          <w:i w:val="0"/>
          <w:iCs w:val="0"/>
          <w:caps w:val="0"/>
          <w:color w:val="333333"/>
          <w:spacing w:val="0"/>
          <w:kern w:val="0"/>
          <w:sz w:val="28"/>
          <w:szCs w:val="28"/>
          <w:shd w:val="clear" w:color="auto" w:fill="FFFFFF"/>
          <w:lang w:val="en-US" w:eastAsia="zh-CN" w:bidi="ar"/>
        </w:rPr>
        <w:t>求、数据交换要求、交换数据标准。</w:t>
      </w:r>
    </w:p>
    <w:p>
      <w:pPr>
        <w:pStyle w:val="2"/>
        <w:numPr>
          <w:ilvl w:val="0"/>
          <w:numId w:val="2"/>
        </w:numPr>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附录，共三则：涵盖工程建设招投标数据集、政府采购招投标数据集、标识码编码规范</w:t>
      </w:r>
    </w:p>
    <w:p>
      <w:pPr>
        <w:pStyle w:val="2"/>
        <w:numPr>
          <w:numId w:val="0"/>
        </w:numPr>
        <w:rPr>
          <w:rFonts w:hint="default" w:ascii="仿宋" w:hAnsi="仿宋" w:eastAsia="仿宋" w:cs="仿宋"/>
          <w:i w:val="0"/>
          <w:iCs w:val="0"/>
          <w:caps w:val="0"/>
          <w:color w:val="333333"/>
          <w:spacing w:val="0"/>
          <w:kern w:val="0"/>
          <w:sz w:val="28"/>
          <w:szCs w:val="28"/>
          <w:shd w:val="clear" w:color="auto" w:fill="FFFFFF"/>
          <w:lang w:val="en-US" w:eastAsia="zh-CN" w:bidi="ar"/>
        </w:rPr>
      </w:pPr>
    </w:p>
    <w:p>
      <w:pPr>
        <w:pStyle w:val="2"/>
        <w:numPr>
          <w:numId w:val="0"/>
        </w:numPr>
        <w:rPr>
          <w:rFonts w:hint="default" w:ascii="仿宋" w:hAnsi="仿宋" w:eastAsia="仿宋" w:cs="仿宋"/>
          <w:i w:val="0"/>
          <w:iCs w:val="0"/>
          <w:caps w:val="0"/>
          <w:color w:val="333333"/>
          <w:spacing w:val="0"/>
          <w:kern w:val="0"/>
          <w:sz w:val="28"/>
          <w:szCs w:val="28"/>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59D8D"/>
    <w:multiLevelType w:val="singleLevel"/>
    <w:tmpl w:val="34259D8D"/>
    <w:lvl w:ilvl="0" w:tentative="0">
      <w:start w:val="1"/>
      <w:numFmt w:val="chineseCounting"/>
      <w:suff w:val="nothing"/>
      <w:lvlText w:val="（%1）"/>
      <w:lvlJc w:val="left"/>
      <w:rPr>
        <w:rFonts w:hint="eastAsia"/>
      </w:rPr>
    </w:lvl>
  </w:abstractNum>
  <w:abstractNum w:abstractNumId="1">
    <w:nsid w:val="5E1668AD"/>
    <w:multiLevelType w:val="singleLevel"/>
    <w:tmpl w:val="5E1668A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15D9E"/>
    <w:rsid w:val="093C0977"/>
    <w:rsid w:val="173B00DB"/>
    <w:rsid w:val="193C78E5"/>
    <w:rsid w:val="216D1B4A"/>
    <w:rsid w:val="267C3AE3"/>
    <w:rsid w:val="44B81D83"/>
    <w:rsid w:val="5A7E09AE"/>
    <w:rsid w:val="5ED15D9E"/>
    <w:rsid w:val="65DF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31"/>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uiPriority w:val="0"/>
    <w:rPr>
      <w:color w:val="333333"/>
      <w:u w:val="none"/>
    </w:rPr>
  </w:style>
  <w:style w:type="character" w:styleId="9">
    <w:name w:val="HTML Definition"/>
    <w:basedOn w:val="6"/>
    <w:uiPriority w:val="0"/>
    <w:rPr>
      <w:i/>
      <w:iCs/>
    </w:rPr>
  </w:style>
  <w:style w:type="character" w:styleId="10">
    <w:name w:val="HTML Acronym"/>
    <w:basedOn w:val="6"/>
    <w:uiPriority w:val="0"/>
    <w:rPr>
      <w:bdr w:val="none" w:color="auto" w:sz="0" w:space="0"/>
    </w:rPr>
  </w:style>
  <w:style w:type="character" w:styleId="11">
    <w:name w:val="Hyperlink"/>
    <w:basedOn w:val="6"/>
    <w:uiPriority w:val="0"/>
    <w:rPr>
      <w:color w:val="333333"/>
      <w:u w:val="none"/>
    </w:rPr>
  </w:style>
  <w:style w:type="character" w:styleId="12">
    <w:name w:val="HTML Code"/>
    <w:basedOn w:val="6"/>
    <w:uiPriority w:val="0"/>
    <w:rPr>
      <w:rFonts w:hint="default" w:ascii="monospace" w:hAnsi="monospace" w:eastAsia="monospace" w:cs="monospace"/>
      <w:sz w:val="21"/>
      <w:szCs w:val="21"/>
    </w:rPr>
  </w:style>
  <w:style w:type="character" w:styleId="13">
    <w:name w:val="HTML Keyboard"/>
    <w:basedOn w:val="6"/>
    <w:uiPriority w:val="0"/>
    <w:rPr>
      <w:rFonts w:ascii="monospace" w:hAnsi="monospace" w:eastAsia="monospace" w:cs="monospace"/>
      <w:sz w:val="21"/>
      <w:szCs w:val="21"/>
    </w:rPr>
  </w:style>
  <w:style w:type="character" w:styleId="14">
    <w:name w:val="HTML Sample"/>
    <w:basedOn w:val="6"/>
    <w:uiPriority w:val="0"/>
    <w:rPr>
      <w:rFonts w:hint="default" w:ascii="monospace" w:hAnsi="monospace" w:eastAsia="monospace" w:cs="monospace"/>
      <w:sz w:val="21"/>
      <w:szCs w:val="21"/>
    </w:rPr>
  </w:style>
  <w:style w:type="character" w:customStyle="1" w:styleId="15">
    <w:name w:val="datetime"/>
    <w:basedOn w:val="6"/>
    <w:uiPriority w:val="0"/>
    <w:rPr>
      <w:rFonts w:ascii="Arial" w:hAnsi="Arial" w:cs="Arial"/>
      <w:color w:val="999999"/>
      <w:sz w:val="21"/>
      <w:szCs w:val="21"/>
    </w:rPr>
  </w:style>
  <w:style w:type="character" w:customStyle="1" w:styleId="16">
    <w:name w:val="nostart"/>
    <w:basedOn w:val="6"/>
    <w:uiPriority w:val="0"/>
    <w:rPr>
      <w:color w:val="FFFFFF"/>
      <w:shd w:val="clear" w:fill="E60000"/>
    </w:rPr>
  </w:style>
  <w:style w:type="character" w:customStyle="1" w:styleId="17">
    <w:name w:val="img-title"/>
    <w:basedOn w:val="6"/>
    <w:uiPriority w:val="0"/>
    <w:rPr>
      <w:vanish/>
    </w:rPr>
  </w:style>
  <w:style w:type="character" w:customStyle="1" w:styleId="18">
    <w:name w:val="starting6"/>
    <w:basedOn w:val="6"/>
    <w:uiPriority w:val="0"/>
    <w:rPr>
      <w:color w:val="FFFFFF"/>
      <w:shd w:val="clear" w:fill="F08324"/>
    </w:rPr>
  </w:style>
  <w:style w:type="character" w:customStyle="1" w:styleId="19">
    <w:name w:val="c2"/>
    <w:basedOn w:val="6"/>
    <w:uiPriority w:val="0"/>
  </w:style>
  <w:style w:type="character" w:customStyle="1" w:styleId="20">
    <w:name w:val="n-msg"/>
    <w:basedOn w:val="6"/>
    <w:uiPriority w:val="0"/>
    <w:rPr>
      <w:color w:val="DB7C22"/>
      <w:sz w:val="18"/>
      <w:szCs w:val="18"/>
      <w:bdr w:val="none" w:color="auto" w:sz="0" w:space="0"/>
    </w:rPr>
  </w:style>
  <w:style w:type="character" w:customStyle="1" w:styleId="21">
    <w:name w:val="c1"/>
    <w:basedOn w:val="6"/>
    <w:uiPriority w:val="0"/>
    <w:rPr>
      <w:bdr w:val="none" w:color="auto" w:sz="0" w:space="0"/>
    </w:rPr>
  </w:style>
  <w:style w:type="character" w:customStyle="1" w:styleId="22">
    <w:name w:val="c3"/>
    <w:basedOn w:val="6"/>
    <w:uiPriority w:val="0"/>
  </w:style>
  <w:style w:type="character" w:customStyle="1" w:styleId="23">
    <w:name w:val="msg-box40"/>
    <w:basedOn w:val="6"/>
    <w:uiPriority w:val="0"/>
  </w:style>
  <w:style w:type="character" w:customStyle="1" w:styleId="24">
    <w:name w:val="button"/>
    <w:basedOn w:val="6"/>
    <w:uiPriority w:val="0"/>
  </w:style>
  <w:style w:type="character" w:customStyle="1" w:styleId="25">
    <w:name w:val="hover64"/>
    <w:basedOn w:val="6"/>
    <w:uiPriority w:val="0"/>
    <w:rPr>
      <w:color w:val="1B50A0"/>
    </w:rPr>
  </w:style>
  <w:style w:type="character" w:customStyle="1" w:styleId="26">
    <w:name w:val="hover65"/>
    <w:basedOn w:val="6"/>
    <w:uiPriority w:val="0"/>
  </w:style>
  <w:style w:type="character" w:customStyle="1" w:styleId="27">
    <w:name w:val="over6"/>
    <w:basedOn w:val="6"/>
    <w:uiPriority w:val="0"/>
    <w:rPr>
      <w:color w:val="999999"/>
      <w:shd w:val="clear" w:fill="DDDDDD"/>
    </w:rPr>
  </w:style>
  <w:style w:type="character" w:customStyle="1" w:styleId="28">
    <w:name w:val="job"/>
    <w:basedOn w:val="6"/>
    <w:uiPriority w:val="0"/>
    <w:rPr>
      <w:color w:val="666666"/>
      <w:sz w:val="22"/>
      <w:szCs w:val="22"/>
    </w:rPr>
  </w:style>
  <w:style w:type="character" w:customStyle="1" w:styleId="29">
    <w:name w:val="hover66"/>
    <w:basedOn w:val="6"/>
    <w:uiPriority w:val="0"/>
  </w:style>
  <w:style w:type="character" w:customStyle="1" w:styleId="30">
    <w:name w:val="nostart4"/>
    <w:basedOn w:val="6"/>
    <w:uiPriority w:val="0"/>
    <w:rPr>
      <w:color w:val="FFFFFF"/>
      <w:shd w:val="clear" w:fill="E6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2022-03-14T03:24:00Z</dcterms:created>
  <dc:creator>月亮的糖</dc:creator>
  <cp:lastModifiedBy>月亮的糖</cp:lastModifiedBy>
  <dcterms:modified xsi:type="dcterms:W3CDTF">2022-03-14T08:30:19Z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49D2A17582FE4072B45490B52BFA9D06</vt:lpwstr>
  </property>
</Properties>
</file>