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000000"/>
          <w:spacing w:val="0"/>
          <w:sz w:val="38"/>
          <w:szCs w:val="38"/>
        </w:rPr>
      </w:pPr>
      <w:r>
        <w:rPr>
          <w:rFonts w:ascii="微软雅黑" w:hAnsi="微软雅黑" w:eastAsia="微软雅黑" w:cs="微软雅黑"/>
          <w:b/>
          <w:bCs/>
          <w:i w:val="0"/>
          <w:iCs w:val="0"/>
          <w:caps w:val="0"/>
          <w:color w:val="000000"/>
          <w:spacing w:val="0"/>
          <w:sz w:val="38"/>
          <w:szCs w:val="38"/>
        </w:rPr>
        <w:t>关于调整公民临床用血收费标准的通知</w:t>
      </w:r>
    </w:p>
    <w:p>
      <w:pPr>
        <w:jc w:val="center"/>
        <w:rPr>
          <w:rFonts w:hint="eastAsia" w:ascii="微软雅黑" w:hAnsi="微软雅黑" w:eastAsia="微软雅黑" w:cs="微软雅黑"/>
          <w:i w:val="0"/>
          <w:iCs w:val="0"/>
          <w:caps w:val="0"/>
          <w:color w:val="000000"/>
          <w:spacing w:val="0"/>
          <w:kern w:val="0"/>
          <w:sz w:val="19"/>
          <w:szCs w:val="19"/>
          <w:lang w:val="en-US" w:eastAsia="zh-CN" w:bidi="ar"/>
        </w:rPr>
      </w:pPr>
      <w:r>
        <w:rPr>
          <w:rFonts w:hint="eastAsia" w:ascii="微软雅黑" w:hAnsi="微软雅黑" w:eastAsia="微软雅黑" w:cs="微软雅黑"/>
          <w:i w:val="0"/>
          <w:iCs w:val="0"/>
          <w:caps w:val="0"/>
          <w:color w:val="000000"/>
          <w:spacing w:val="0"/>
          <w:kern w:val="0"/>
          <w:sz w:val="19"/>
          <w:szCs w:val="19"/>
          <w:lang w:val="en-US" w:eastAsia="zh-CN" w:bidi="ar"/>
        </w:rPr>
        <w:t>皖价医〔2006〕203号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各市、县物价局、卫生局：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根据卫生部、国家发展改革委员会《关于调整公民临床用血收费标准的通知》（卫规财发[2005]437号）规定，结合我省临床用血实际和采供血成本情况，现就调整临床用血收费标准有关事项通知如下：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一、血站向医疗机构供应血液的费用包括血站采集、储存、分离、检验等费用；医疗机构向患者提供血液的费用包括血液供应费及临床输血服务费等。血站及医疗机构提供的临床用血其他服务项目按本标准规定和现行的医疗服务价格执行。具体收费标准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二、血站和医疗机构开展的临床输血服务项目必须报经当地卫生主管部门批准，必须严格执行国家规定血液安全技术标准和规范操作规程并建立备查档案，确保供血和用血安全。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三、血站和医疗机构必须严格执行本收费标准和现行的临床用血医疗服务价格，不得向患者另行收取其它费用。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四、各地自行制定的各种形式的献血互助金、保证金等一律取消。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五、本通知自2006年8月1日起执行。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19"/>
          <w:szCs w:val="1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firstLineChars="20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附件：安徽省公民临床用血收费标准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                                                                                         二〇〇六年七月二十一日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微软雅黑" w:hAnsi="微软雅黑" w:eastAsia="微软雅黑" w:cs="微软雅黑"/>
          <w:i w:val="0"/>
          <w:iCs w:val="0"/>
          <w:caps w:val="0"/>
          <w:color w:val="000000"/>
          <w:spacing w:val="0"/>
          <w:sz w:val="19"/>
          <w:szCs w:val="1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微软雅黑" w:hAnsi="微软雅黑" w:eastAsia="微软雅黑" w:cs="微软雅黑"/>
          <w:i w:val="0"/>
          <w:iCs w:val="0"/>
          <w:caps w:val="0"/>
          <w:color w:val="000000"/>
          <w:spacing w:val="0"/>
          <w:sz w:val="19"/>
          <w:szCs w:val="1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微软雅黑" w:hAnsi="微软雅黑" w:eastAsia="微软雅黑" w:cs="微软雅黑"/>
          <w:i w:val="0"/>
          <w:iCs w:val="0"/>
          <w:caps w:val="0"/>
          <w:color w:val="000000"/>
          <w:spacing w:val="0"/>
          <w:sz w:val="19"/>
          <w:szCs w:val="1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5"/>
          <w:rFonts w:hint="eastAsia" w:ascii="微软雅黑" w:hAnsi="微软雅黑" w:eastAsia="微软雅黑" w:cs="微软雅黑"/>
          <w:i w:val="0"/>
          <w:iCs w:val="0"/>
          <w:caps w:val="0"/>
          <w:color w:val="000000"/>
          <w:spacing w:val="0"/>
          <w:sz w:val="19"/>
          <w:szCs w:val="19"/>
          <w:bdr w:val="none" w:color="auto" w:sz="0" w:space="0"/>
          <w:lang w:eastAsia="zh-CN"/>
        </w:rPr>
      </w:pPr>
      <w:bookmarkStart w:id="0" w:name="_GoBack"/>
      <w:bookmarkEnd w:id="0"/>
      <w:r>
        <w:rPr>
          <w:rStyle w:val="5"/>
          <w:rFonts w:hint="eastAsia" w:ascii="微软雅黑" w:hAnsi="微软雅黑" w:eastAsia="微软雅黑" w:cs="微软雅黑"/>
          <w:i w:val="0"/>
          <w:iCs w:val="0"/>
          <w:caps w:val="0"/>
          <w:color w:val="000000"/>
          <w:spacing w:val="0"/>
          <w:sz w:val="19"/>
          <w:szCs w:val="19"/>
          <w:bdr w:val="none" w:color="auto" w:sz="0" w:space="0"/>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sz w:val="19"/>
          <w:szCs w:val="19"/>
          <w:bdr w:val="none" w:color="auto" w:sz="0" w:space="0"/>
        </w:rPr>
        <w:t>安徽省公民临床用血收费标准</w:t>
      </w:r>
      <w:r>
        <w:rPr>
          <w:rFonts w:hint="eastAsia" w:ascii="微软雅黑" w:hAnsi="微软雅黑" w:eastAsia="微软雅黑" w:cs="微软雅黑"/>
          <w:i w:val="0"/>
          <w:iCs w:val="0"/>
          <w:caps w:val="0"/>
          <w:color w:val="000000"/>
          <w:spacing w:val="0"/>
          <w:sz w:val="19"/>
          <w:szCs w:val="19"/>
          <w:bdr w:val="none" w:color="auto" w:sz="0" w:space="0"/>
        </w:rPr>
        <w:br w:type="textWrapping"/>
      </w:r>
      <w:r>
        <w:rPr>
          <w:rStyle w:val="5"/>
          <w:rFonts w:hint="eastAsia" w:ascii="微软雅黑" w:hAnsi="微软雅黑" w:eastAsia="微软雅黑" w:cs="微软雅黑"/>
          <w:i w:val="0"/>
          <w:iCs w:val="0"/>
          <w:caps w:val="0"/>
          <w:color w:val="000000"/>
          <w:spacing w:val="0"/>
          <w:sz w:val="19"/>
          <w:szCs w:val="19"/>
          <w:bdr w:val="none" w:color="auto" w:sz="0" w:space="0"/>
        </w:rPr>
        <w:t>（皖价医【2006】203号）</w:t>
      </w:r>
    </w:p>
    <w:tbl>
      <w:tblPr>
        <w:tblW w:w="820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28"/>
        <w:gridCol w:w="1008"/>
        <w:gridCol w:w="1296"/>
        <w:gridCol w:w="1152"/>
        <w:gridCol w:w="30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名称</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计价单位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血站供应医疗机</w:t>
            </w: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br w:type="textWrapping"/>
            </w: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构价格（元）</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医疗机构供应</w:t>
            </w: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br w:type="textWrapping"/>
            </w: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临床价（元）</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49"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全血</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220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230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手工分红细胞悬液</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210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220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手工分浓缩血小板</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110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200ml全血制备（包含冰冻手工浓缩血小板）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手工分冰冻血浆</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100ml</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40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45</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机采血小板</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每治疗量</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1400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1430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包含冰冻机采血小板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冷沉淀</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110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洗涤红细胞</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240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250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RH阴性红细胞悬液</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390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400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冰冻红细胞</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460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470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病毒灭活血浆</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100ml</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80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100ml血浆制备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病毒灭活冷沉淀</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140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150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外周血干细胞采集</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1次/人</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2460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2480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含动员剂及材料费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8"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单采粒细胞</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1个治疗量</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1700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1720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辐照血及血液成分</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在原血液及血液及血液成分定价基础上加收35元</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 </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少白细胞的红细胞悬液</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230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240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200ml全血制备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储血费</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8</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8</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仅限血站设置的县级供（储）血点和设置独立输血科（血库）的医院收取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8" w:hRule="atLeast"/>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送血费</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公里</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仅限血站向非储血医院和提供紧急急救用血时收取，公里数以血站到目的地之间的单程距离计算。设置输血科（血库）并正常储备血液的医院由血站根据储血计划免费送血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采自体血及保存</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110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包含血液采集、检测、交叉配血、储存临床输血服务等全部费用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72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家庭互助献血</w:t>
            </w:r>
          </w:p>
        </w:tc>
        <w:tc>
          <w:tcPr>
            <w:tcW w:w="1008"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单位</w:t>
            </w:r>
          </w:p>
        </w:tc>
        <w:tc>
          <w:tcPr>
            <w:tcW w:w="1296"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100</w:t>
            </w:r>
          </w:p>
        </w:tc>
        <w:tc>
          <w:tcPr>
            <w:tcW w:w="1152"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110</w:t>
            </w:r>
          </w:p>
        </w:tc>
        <w:tc>
          <w:tcPr>
            <w:tcW w:w="3024" w:type="dxa"/>
            <w:shd w:val="cle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包含血液采集、检测、交叉配血、储存临床输血服务等全部费用</w:t>
            </w:r>
          </w:p>
        </w:tc>
      </w:tr>
    </w:tbl>
    <w:p>
      <w:pPr>
        <w:rPr>
          <w:rFonts w:ascii="微软雅黑" w:hAnsi="微软雅黑" w:eastAsia="微软雅黑" w:cs="微软雅黑"/>
          <w:b/>
          <w:bCs/>
          <w:i w:val="0"/>
          <w:iCs w:val="0"/>
          <w:caps w:val="0"/>
          <w:color w:val="000000"/>
          <w:spacing w:val="0"/>
          <w:sz w:val="38"/>
          <w:szCs w:val="3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55802"/>
    <w:rsid w:val="6300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2022-01-04T11:44:49Z</dcterms:created>
  <dc:creator>Administrator</dc:creator>
  <cp:lastModifiedBy>王可</cp:lastModifiedBy>
  <dcterms:modified xsi:type="dcterms:W3CDTF">2022-01-04T11:46:28Z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D952DDAD6A85416AAC6F13E970EE9827</vt:lpwstr>
  </property>
</Properties>
</file>