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黑体" w:hAnsi="宋体" w:eastAsia="黑体" w:cs="黑体"/>
          <w:b w:val="0"/>
          <w:bCs w:val="0"/>
          <w:color w:val="333333"/>
          <w:sz w:val="32"/>
          <w:szCs w:val="32"/>
        </w:rPr>
      </w:pPr>
      <w:bookmarkStart w:id="0" w:name="_GoBack"/>
      <w:bookmarkEnd w:id="0"/>
      <w:r>
        <w:rPr>
          <w:rFonts w:hint="eastAsia" w:ascii="黑体" w:hAnsi="宋体" w:eastAsia="黑体" w:cs="黑体"/>
          <w:b w:val="0"/>
          <w:bCs w:val="0"/>
          <w:color w:val="333333"/>
          <w:sz w:val="32"/>
          <w:szCs w:val="32"/>
        </w:rPr>
        <w:t>财政部关于降低部分政府性基金征收标准的通知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333333"/>
          <w:sz w:val="24"/>
          <w:szCs w:val="24"/>
        </w:rPr>
      </w:pPr>
      <w:r>
        <w:rPr>
          <w:color w:val="333333"/>
          <w:sz w:val="24"/>
          <w:szCs w:val="24"/>
        </w:rPr>
        <w:t>财税〔2018〕39号 </w:t>
      </w:r>
    </w:p>
    <w:tbl>
      <w:tblPr>
        <w:tblStyle w:val="4"/>
        <w:tblW w:w="4800"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0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3"/>
              <w:keepNext w:val="0"/>
              <w:keepLines w:val="0"/>
              <w:widowControl/>
              <w:suppressLineNumbers w:val="0"/>
              <w:rPr>
                <w:rFonts w:hint="eastAsia" w:ascii="宋体" w:hAnsi="宋体" w:eastAsia="宋体" w:cs="宋体"/>
                <w:i w:val="0"/>
                <w:iCs w:val="0"/>
                <w:color w:val="333333"/>
                <w:sz w:val="24"/>
                <w:szCs w:val="24"/>
              </w:rPr>
            </w:pPr>
          </w:p>
          <w:p>
            <w:pPr>
              <w:pStyle w:val="3"/>
              <w:keepNext w:val="0"/>
              <w:keepLines w:val="0"/>
              <w:widowControl/>
              <w:suppressLineNumbers w:val="0"/>
              <w:rPr>
                <w:rFonts w:hint="eastAsia" w:ascii="宋体" w:hAnsi="宋体" w:eastAsia="宋体" w:cs="宋体"/>
                <w:sz w:val="21"/>
                <w:szCs w:val="21"/>
              </w:rPr>
            </w:pPr>
            <w:r>
              <w:rPr>
                <w:rFonts w:hint="eastAsia" w:ascii="宋体" w:hAnsi="宋体" w:eastAsia="宋体" w:cs="宋体"/>
                <w:i w:val="0"/>
                <w:iCs w:val="0"/>
                <w:color w:val="333333"/>
                <w:sz w:val="24"/>
                <w:szCs w:val="24"/>
              </w:rPr>
              <w:t>国家发展改革委、水利部、国家税务总局、中国残联，国家电网公司、中国南方电网有限责任公司，各省、自治区、直辖市财政厅（局），新疆生产建设兵团财政局，财政部驻各省、自治区、直辖市财政监察专员办事处：</w:t>
            </w:r>
            <w:r>
              <w:rPr>
                <w:rFonts w:hint="eastAsia" w:ascii="宋体" w:hAnsi="宋体" w:eastAsia="宋体" w:cs="宋体"/>
                <w:i w:val="0"/>
                <w:iCs w:val="0"/>
                <w:color w:val="333333"/>
                <w:sz w:val="24"/>
                <w:szCs w:val="24"/>
              </w:rPr>
              <w:br w:type="textWrapping"/>
            </w:r>
            <w:r>
              <w:rPr>
                <w:rFonts w:hint="eastAsia" w:ascii="宋体" w:hAnsi="宋体" w:eastAsia="宋体" w:cs="宋体"/>
                <w:i w:val="0"/>
                <w:iCs w:val="0"/>
                <w:color w:val="333333"/>
                <w:sz w:val="24"/>
                <w:szCs w:val="24"/>
              </w:rPr>
              <w:t>　　为进一步减轻社会负担，支持实体经济发展，现就降低部分政府性基金征收标准有关政策通知如下：</w:t>
            </w:r>
            <w:r>
              <w:rPr>
                <w:rFonts w:hint="eastAsia" w:ascii="宋体" w:hAnsi="宋体" w:eastAsia="宋体" w:cs="宋体"/>
                <w:i w:val="0"/>
                <w:iCs w:val="0"/>
                <w:color w:val="333333"/>
                <w:sz w:val="24"/>
                <w:szCs w:val="24"/>
              </w:rPr>
              <w:br w:type="textWrapping"/>
            </w:r>
            <w:r>
              <w:rPr>
                <w:rFonts w:hint="eastAsia" w:ascii="宋体" w:hAnsi="宋体" w:eastAsia="宋体" w:cs="宋体"/>
                <w:i w:val="0"/>
                <w:iCs w:val="0"/>
                <w:color w:val="333333"/>
                <w:sz w:val="24"/>
                <w:szCs w:val="24"/>
              </w:rPr>
              <w:t>　　一、自2018年4月1日起，将残疾人就业保障金征收标准上限，由当地社会平均工资的3倍降低至2倍。其中，用人单位在职职工平均工资未超过当地社会平均工资2倍（含）的，按用人单位在职职工年平均工资计征残疾人就业保障金；超过当地社会平均工资2倍的，按当地社会平均工资2倍计征残疾人就业保障金。</w:t>
            </w:r>
            <w:r>
              <w:rPr>
                <w:rFonts w:hint="eastAsia" w:ascii="宋体" w:hAnsi="宋体" w:eastAsia="宋体" w:cs="宋体"/>
                <w:i w:val="0"/>
                <w:iCs w:val="0"/>
                <w:color w:val="333333"/>
                <w:sz w:val="24"/>
                <w:szCs w:val="24"/>
              </w:rPr>
              <w:br w:type="textWrapping"/>
            </w:r>
            <w:r>
              <w:rPr>
                <w:rFonts w:hint="eastAsia" w:ascii="宋体" w:hAnsi="宋体" w:eastAsia="宋体" w:cs="宋体"/>
                <w:i w:val="0"/>
                <w:iCs w:val="0"/>
                <w:color w:val="333333"/>
                <w:sz w:val="24"/>
                <w:szCs w:val="24"/>
              </w:rPr>
              <w:t>　　二、自2018年7月1日起，将国家重大水利工程建设基金征收标准，在按照《财政部关于降低国家重大水利工程建设基金和大中型水库移民后期扶持基金征收标准的通知》（财税〔2017〕51号）降低25%的基础上，再统一降低25%。调整后的征收标准=按照《财政部 国家发展改革委 水利部关于印发&lt;国家重大水利工程建设基金征收使用管理暂行办法&gt;的通知》（财综〔2009〕90号）规定的征收标准×（1-25%）×（1-25%）。</w:t>
            </w:r>
            <w:r>
              <w:rPr>
                <w:rFonts w:hint="eastAsia" w:ascii="宋体" w:hAnsi="宋体" w:eastAsia="宋体" w:cs="宋体"/>
                <w:i w:val="0"/>
                <w:iCs w:val="0"/>
                <w:color w:val="333333"/>
                <w:sz w:val="24"/>
                <w:szCs w:val="24"/>
              </w:rPr>
              <w:br w:type="textWrapping"/>
            </w:r>
            <w:r>
              <w:rPr>
                <w:rFonts w:hint="eastAsia" w:ascii="宋体" w:hAnsi="宋体" w:eastAsia="宋体" w:cs="宋体"/>
                <w:i w:val="0"/>
                <w:iCs w:val="0"/>
                <w:color w:val="333333"/>
                <w:sz w:val="24"/>
                <w:szCs w:val="24"/>
              </w:rPr>
              <w:t>　　征收标准降低后南水北调、三峡后续规划等中央支出缺口，在适度压减支出、统筹现有资金渠道予以支持的基础上，由中央财政通过其他方式予以适当弥补。地方支出缺口，由地方财政统筹解决。</w:t>
            </w:r>
            <w:r>
              <w:rPr>
                <w:rFonts w:hint="eastAsia" w:ascii="宋体" w:hAnsi="宋体" w:eastAsia="宋体" w:cs="宋体"/>
                <w:i w:val="0"/>
                <w:iCs w:val="0"/>
                <w:color w:val="333333"/>
                <w:sz w:val="24"/>
                <w:szCs w:val="24"/>
              </w:rPr>
              <w:br w:type="textWrapping"/>
            </w:r>
            <w:r>
              <w:rPr>
                <w:rFonts w:hint="eastAsia" w:ascii="宋体" w:hAnsi="宋体" w:eastAsia="宋体" w:cs="宋体"/>
                <w:i w:val="0"/>
                <w:iCs w:val="0"/>
                <w:color w:val="333333"/>
                <w:sz w:val="24"/>
                <w:szCs w:val="24"/>
              </w:rPr>
              <w:t>　　三、各地区、各有关部门和单位应当按照本通知规定，及时制定出台相关配套措施，确保上述政策落实到位。</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7B14B8"/>
    <w:rsid w:val="26412E91"/>
    <w:rsid w:val="717B1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FollowedHyperlink"/>
    <w:basedOn w:val="5"/>
    <w:qFormat/>
    <w:uiPriority w:val="0"/>
    <w:rPr>
      <w:color w:val="333333"/>
      <w:u w:val="none"/>
    </w:rPr>
  </w:style>
  <w:style w:type="character" w:styleId="7">
    <w:name w:val="Hyperlink"/>
    <w:basedOn w:val="5"/>
    <w:qFormat/>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2021-12-29T03:42:00Z</dcterms:created>
  <dc:creator>张婷婷</dc:creator>
  <cp:lastModifiedBy>张辉</cp:lastModifiedBy>
  <dcterms:modified xsi:type="dcterms:W3CDTF">2021-12-29T06:28:25Z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