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534"/>
          <w:spacing w:val="0"/>
          <w:kern w:val="0"/>
          <w:sz w:val="42"/>
          <w:szCs w:val="42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534"/>
          <w:spacing w:val="0"/>
          <w:kern w:val="0"/>
          <w:sz w:val="42"/>
          <w:szCs w:val="42"/>
          <w:bdr w:val="none" w:color="auto" w:sz="0" w:space="0"/>
          <w:lang w:val="en-US" w:eastAsia="zh-CN" w:bidi="ar"/>
        </w:rPr>
        <w:t>财政部 国家税务总局关于对小微企业免征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534"/>
          <w:spacing w:val="0"/>
          <w:kern w:val="0"/>
          <w:sz w:val="42"/>
          <w:szCs w:val="42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534"/>
          <w:spacing w:val="0"/>
          <w:kern w:val="0"/>
          <w:sz w:val="42"/>
          <w:szCs w:val="42"/>
          <w:bdr w:val="none" w:color="auto" w:sz="0" w:space="0"/>
          <w:lang w:val="en-US" w:eastAsia="zh-CN" w:bidi="ar"/>
        </w:rPr>
        <w:t>有关政府性基金的通知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23534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财税〔2014〕122号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各省、自治区、直辖市、计划单列市人民政府，中宣部、教育部、水利部、中国残联：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为进一步加大对小微企业的扶持力度，经国务院批准，现将免征小微企业有关政府性基金问题通知如下：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一、自2015年1月1日起至2017年12月31日，对按月纳税的月销售额或营业额不超过3万元（含3万元），以及按季纳税的季度销售额或营业额不超过9万元（含9万元）的缴纳义务人，免征教育费附加、地方教育附加、水利建设基金、文化事业建设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二、自工商登记注册之日起3年内，对安排残疾人就业未达到规定比例、在职职工总数20人以下（含20人）的小微企业，免征残疾人就业保障金。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三、免征上述政府性基金后，有关部门依法履行职能和事业发展所需经费，由同级财政预算予以统筹安排。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财政部 国家税务总局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　　2014年12月23日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44AFF"/>
    <w:rsid w:val="4F5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2021-12-29T07:39:00Z</dcterms:created>
  <dc:creator>Administrator</dc:creator>
  <cp:lastModifiedBy>Administrator</cp:lastModifiedBy>
  <dcterms:modified xsi:type="dcterms:W3CDTF">2021-12-29T07:40:19Z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2460B74747F4497D91FBCC0AA8058440</vt:lpwstr>
  </property>
</Properties>
</file>