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color w:val="auto"/>
          <w:kern w:val="2"/>
          <w:sz w:val="44"/>
          <w:szCs w:val="44"/>
          <w:lang w:val="en-US" w:eastAsia="zh-CN" w:bidi="ar-SA"/>
        </w:rPr>
      </w:pPr>
      <w:bookmarkStart w:id="32" w:name="_GoBack"/>
      <w:bookmarkEnd w:id="32"/>
    </w:p>
    <w:p>
      <w:pPr>
        <w:pStyle w:val="8"/>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color w:val="auto"/>
          <w:kern w:val="2"/>
          <w:sz w:val="44"/>
          <w:szCs w:val="44"/>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hanging="440" w:hangingChars="100"/>
        <w:jc w:val="center"/>
        <w:textAlignment w:val="auto"/>
        <w:rPr>
          <w:rFonts w:hint="eastAsia" w:ascii="方正小标宋_GBK" w:hAnsi="方正小标宋_GBK" w:eastAsia="方正小标宋_GBK" w:cs="方正小标宋_GBK"/>
          <w:b w:val="0"/>
          <w:bCs w:val="0"/>
          <w:color w:val="auto"/>
          <w:kern w:val="2"/>
          <w:sz w:val="44"/>
          <w:szCs w:val="44"/>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hanging="440" w:hangingChars="100"/>
        <w:jc w:val="center"/>
        <w:textAlignment w:val="auto"/>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宿州市“十四五”医疗保障事业发展规划</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hanging="440" w:hangingChars="100"/>
        <w:jc w:val="center"/>
        <w:textAlignment w:val="auto"/>
        <w:rPr>
          <w:rFonts w:hint="default"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（2021年-2025年）</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hanging="440" w:hangingChars="100"/>
        <w:jc w:val="center"/>
        <w:textAlignment w:val="auto"/>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（征求意见稿）</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hanging="440" w:hangingChars="100"/>
        <w:jc w:val="center"/>
        <w:textAlignment w:val="auto"/>
        <w:rPr>
          <w:rFonts w:hint="eastAsia" w:ascii="方正小标宋_GBK" w:hAnsi="方正小标宋_GBK" w:eastAsia="方正小标宋_GBK" w:cs="方正小标宋_GBK"/>
          <w:b w:val="0"/>
          <w:bCs w:val="0"/>
          <w:color w:val="auto"/>
          <w:kern w:val="2"/>
          <w:sz w:val="44"/>
          <w:szCs w:val="44"/>
          <w:lang w:val="en-US" w:eastAsia="zh-CN" w:bidi="ar-SA"/>
        </w:rPr>
      </w:pPr>
    </w:p>
    <w:p>
      <w:pPr>
        <w:pStyle w:val="8"/>
        <w:keepNext w:val="0"/>
        <w:keepLines w:val="0"/>
        <w:widowControl/>
        <w:suppressLineNumbers w:val="0"/>
        <w:ind w:firstLine="640" w:firstLineChars="200"/>
        <w:jc w:val="both"/>
        <w:rPr>
          <w:rFonts w:hint="eastAsia" w:ascii="仿宋" w:hAnsi="仿宋" w:eastAsia="仿宋" w:cs="仿宋"/>
          <w:color w:val="auto"/>
          <w:kern w:val="2"/>
          <w:sz w:val="32"/>
          <w:szCs w:val="32"/>
          <w:lang w:val="en-US" w:eastAsia="zh-CN" w:bidi="ar-SA"/>
        </w:rPr>
      </w:pPr>
    </w:p>
    <w:p>
      <w:pPr>
        <w:pStyle w:val="8"/>
        <w:keepNext w:val="0"/>
        <w:keepLines w:val="0"/>
        <w:widowControl/>
        <w:suppressLineNumbers w:val="0"/>
        <w:ind w:firstLine="640" w:firstLineChars="200"/>
        <w:jc w:val="both"/>
        <w:rPr>
          <w:rFonts w:hint="eastAsia" w:ascii="仿宋" w:hAnsi="仿宋" w:eastAsia="仿宋" w:cs="仿宋"/>
          <w:color w:val="auto"/>
          <w:kern w:val="2"/>
          <w:sz w:val="32"/>
          <w:szCs w:val="32"/>
          <w:lang w:val="en-US" w:eastAsia="zh-CN" w:bidi="ar-SA"/>
        </w:rPr>
      </w:pPr>
    </w:p>
    <w:p>
      <w:pPr>
        <w:pStyle w:val="8"/>
        <w:keepNext w:val="0"/>
        <w:keepLines w:val="0"/>
        <w:widowControl/>
        <w:suppressLineNumbers w:val="0"/>
        <w:ind w:firstLine="640" w:firstLineChars="200"/>
        <w:jc w:val="both"/>
        <w:rPr>
          <w:rFonts w:hint="eastAsia" w:ascii="仿宋" w:hAnsi="仿宋" w:eastAsia="仿宋" w:cs="仿宋"/>
          <w:color w:val="auto"/>
          <w:kern w:val="2"/>
          <w:sz w:val="32"/>
          <w:szCs w:val="32"/>
          <w:lang w:val="en-US" w:eastAsia="zh-CN" w:bidi="ar-SA"/>
        </w:rPr>
      </w:pPr>
    </w:p>
    <w:p>
      <w:pPr>
        <w:pStyle w:val="8"/>
        <w:keepNext w:val="0"/>
        <w:keepLines w:val="0"/>
        <w:widowControl/>
        <w:suppressLineNumbers w:val="0"/>
        <w:ind w:firstLine="640" w:firstLineChars="200"/>
        <w:jc w:val="both"/>
        <w:rPr>
          <w:rFonts w:hint="eastAsia" w:ascii="仿宋" w:hAnsi="仿宋" w:eastAsia="仿宋" w:cs="仿宋"/>
          <w:color w:val="auto"/>
          <w:kern w:val="2"/>
          <w:sz w:val="32"/>
          <w:szCs w:val="32"/>
          <w:lang w:val="en-US" w:eastAsia="zh-CN" w:bidi="ar-SA"/>
        </w:rPr>
      </w:pPr>
    </w:p>
    <w:p>
      <w:pPr>
        <w:pStyle w:val="8"/>
        <w:keepNext w:val="0"/>
        <w:keepLines w:val="0"/>
        <w:widowControl/>
        <w:suppressLineNumbers w:val="0"/>
        <w:ind w:firstLine="640" w:firstLineChars="200"/>
        <w:jc w:val="both"/>
        <w:rPr>
          <w:rFonts w:hint="eastAsia" w:ascii="仿宋" w:hAnsi="仿宋" w:eastAsia="仿宋" w:cs="仿宋"/>
          <w:color w:val="auto"/>
          <w:kern w:val="2"/>
          <w:sz w:val="32"/>
          <w:szCs w:val="32"/>
          <w:lang w:val="en-US" w:eastAsia="zh-CN" w:bidi="ar-SA"/>
        </w:rPr>
      </w:pPr>
    </w:p>
    <w:p>
      <w:pPr>
        <w:pStyle w:val="8"/>
        <w:keepNext w:val="0"/>
        <w:keepLines w:val="0"/>
        <w:widowControl/>
        <w:suppressLineNumbers w:val="0"/>
        <w:ind w:firstLine="640" w:firstLineChars="200"/>
        <w:jc w:val="both"/>
        <w:rPr>
          <w:rFonts w:hint="eastAsia" w:ascii="仿宋" w:hAnsi="仿宋" w:eastAsia="仿宋" w:cs="仿宋"/>
          <w:color w:val="auto"/>
          <w:kern w:val="2"/>
          <w:sz w:val="32"/>
          <w:szCs w:val="32"/>
          <w:lang w:val="en-US" w:eastAsia="zh-CN" w:bidi="ar-SA"/>
        </w:rPr>
      </w:pPr>
    </w:p>
    <w:p>
      <w:pPr>
        <w:pStyle w:val="8"/>
        <w:keepNext w:val="0"/>
        <w:keepLines w:val="0"/>
        <w:widowControl/>
        <w:suppressLineNumbers w:val="0"/>
        <w:ind w:firstLine="640" w:firstLineChars="200"/>
        <w:jc w:val="both"/>
        <w:rPr>
          <w:rFonts w:hint="eastAsia" w:ascii="仿宋" w:hAnsi="仿宋" w:eastAsia="仿宋" w:cs="仿宋"/>
          <w:color w:val="auto"/>
          <w:kern w:val="2"/>
          <w:sz w:val="32"/>
          <w:szCs w:val="32"/>
          <w:lang w:val="en-US" w:eastAsia="zh-CN" w:bidi="ar-SA"/>
        </w:rPr>
      </w:pPr>
    </w:p>
    <w:p>
      <w:pPr>
        <w:pStyle w:val="8"/>
        <w:keepNext w:val="0"/>
        <w:keepLines w:val="0"/>
        <w:widowControl/>
        <w:suppressLineNumbers w:val="0"/>
        <w:ind w:firstLine="600" w:firstLineChars="200"/>
        <w:jc w:val="center"/>
        <w:rPr>
          <w:rFonts w:hint="eastAsia" w:ascii="仿宋" w:hAnsi="仿宋" w:eastAsia="仿宋" w:cs="仿宋"/>
          <w:color w:val="auto"/>
          <w:kern w:val="2"/>
          <w:sz w:val="32"/>
          <w:szCs w:val="32"/>
          <w:lang w:val="en-US" w:eastAsia="zh-CN" w:bidi="ar-SA"/>
        </w:rPr>
      </w:pPr>
      <w:r>
        <w:rPr>
          <w:rFonts w:hint="default" w:ascii="Times New Roman" w:hAnsi="Times New Roman" w:eastAsia="黑体"/>
          <w:color w:val="auto"/>
          <w:sz w:val="30"/>
          <w:szCs w:val="30"/>
        </w:rPr>
        <w:t>2021年1</w:t>
      </w:r>
      <w:r>
        <w:rPr>
          <w:rFonts w:hint="eastAsia" w:ascii="Times New Roman" w:hAnsi="Times New Roman" w:eastAsia="黑体"/>
          <w:color w:val="auto"/>
          <w:sz w:val="30"/>
          <w:szCs w:val="30"/>
          <w:lang w:val="en-US" w:eastAsia="zh-CN"/>
        </w:rPr>
        <w:t>2</w:t>
      </w:r>
      <w:r>
        <w:rPr>
          <w:rFonts w:hint="default" w:ascii="Times New Roman" w:hAnsi="Times New Roman" w:eastAsia="黑体"/>
          <w:color w:val="auto"/>
          <w:sz w:val="30"/>
          <w:szCs w:val="30"/>
        </w:rPr>
        <w:t>月</w:t>
      </w:r>
    </w:p>
    <w:p>
      <w:pPr>
        <w:pStyle w:val="8"/>
        <w:keepNext w:val="0"/>
        <w:keepLines w:val="0"/>
        <w:widowControl/>
        <w:suppressLineNumbers w:val="0"/>
        <w:jc w:val="both"/>
        <w:rPr>
          <w:rFonts w:hint="eastAsia" w:ascii="仿宋" w:hAnsi="仿宋" w:eastAsia="仿宋" w:cs="仿宋"/>
          <w:color w:val="auto"/>
          <w:kern w:val="2"/>
          <w:sz w:val="32"/>
          <w:szCs w:val="32"/>
          <w:lang w:val="en-US" w:eastAsia="zh-CN" w:bidi="ar-SA"/>
        </w:rPr>
      </w:pPr>
    </w:p>
    <w:p>
      <w:pPr>
        <w:pStyle w:val="8"/>
        <w:keepNext w:val="0"/>
        <w:keepLines w:val="0"/>
        <w:widowControl/>
        <w:suppressLineNumbers w:val="0"/>
        <w:ind w:firstLine="640" w:firstLineChars="200"/>
        <w:jc w:val="both"/>
        <w:rPr>
          <w:rFonts w:hint="eastAsia" w:ascii="仿宋" w:hAnsi="仿宋" w:eastAsia="仿宋" w:cs="仿宋"/>
          <w:color w:val="auto"/>
          <w:kern w:val="2"/>
          <w:sz w:val="32"/>
          <w:szCs w:val="32"/>
          <w:lang w:val="en-US" w:eastAsia="zh-CN" w:bidi="ar-SA"/>
        </w:rPr>
        <w:sectPr>
          <w:pgSz w:w="11906" w:h="16838"/>
          <w:pgMar w:top="1984" w:right="1474" w:bottom="1134" w:left="1474" w:header="851" w:footer="992" w:gutter="0"/>
          <w:pgNumType w:fmt="decimal"/>
          <w:cols w:space="425" w:num="1"/>
          <w:docGrid w:type="lines" w:linePitch="312" w:charSpace="0"/>
        </w:sectPr>
      </w:pPr>
    </w:p>
    <w:sdt>
      <w:sdtPr>
        <w:rPr>
          <w:rFonts w:ascii="宋体" w:hAnsi="宋体" w:eastAsia="宋体" w:cs="Times New Roman"/>
          <w:kern w:val="2"/>
          <w:sz w:val="21"/>
          <w:szCs w:val="24"/>
          <w:lang w:val="en-US" w:eastAsia="zh-CN" w:bidi="ar-SA"/>
        </w:rPr>
        <w:id w:val="147478260"/>
        <w15:color w:val="DBDBDB"/>
        <w:docPartObj>
          <w:docPartGallery w:val="Table of Contents"/>
          <w:docPartUnique/>
        </w:docPartObj>
      </w:sdtPr>
      <w:sdtEndPr>
        <w:rPr>
          <w:rFonts w:hint="eastAsia" w:ascii="Times New Roman" w:hAnsi="Times New Roman" w:eastAsia="方正楷体_GBK" w:cs="Times New Roman"/>
          <w:color w:val="auto"/>
          <w:kern w:val="2"/>
          <w:sz w:val="30"/>
          <w:szCs w:val="30"/>
          <w:lang w:val="en-US" w:eastAsia="zh-CN" w:bidi="ar-SA"/>
        </w:rPr>
      </w:sdtEndPr>
      <w:sdtContent>
        <w:p>
          <w:pPr>
            <w:spacing w:before="0" w:beforeLines="0" w:after="0" w:afterLines="0" w:line="240" w:lineRule="auto"/>
            <w:ind w:left="0" w:leftChars="0" w:right="0" w:rightChars="0" w:firstLine="0" w:firstLineChars="0"/>
            <w:jc w:val="center"/>
            <w:rPr>
              <w:rFonts w:hint="eastAsia" w:ascii="方正黑体_GBK" w:hAnsi="方正黑体_GBK" w:eastAsia="方正黑体_GBK" w:cs="方正黑体_GBK"/>
              <w:color w:val="auto"/>
              <w:sz w:val="44"/>
              <w:szCs w:val="44"/>
              <w:lang w:val="en-US" w:eastAsia="zh-CN"/>
            </w:rPr>
          </w:pPr>
          <w:r>
            <w:rPr>
              <w:rFonts w:hint="eastAsia" w:ascii="方正黑体_GBK" w:hAnsi="方正黑体_GBK" w:eastAsia="方正黑体_GBK" w:cs="方正黑体_GBK"/>
              <w:color w:val="auto"/>
              <w:sz w:val="44"/>
              <w:szCs w:val="44"/>
              <w:lang w:val="en-US" w:eastAsia="zh-CN"/>
            </w:rPr>
            <w:t>目录</w:t>
          </w:r>
        </w:p>
        <w:p>
          <w:pPr>
            <w:pStyle w:val="12"/>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eastAsia" w:ascii="Times New Roman" w:hAnsi="Times New Roman" w:eastAsia="方正楷体_GBK" w:cs="Times New Roman"/>
              <w:color w:val="auto"/>
              <w:kern w:val="2"/>
              <w:sz w:val="30"/>
              <w:szCs w:val="30"/>
              <w:lang w:val="en-US" w:eastAsia="zh-CN" w:bidi="ar-SA"/>
            </w:rPr>
            <w:fldChar w:fldCharType="begin"/>
          </w:r>
          <w:r>
            <w:rPr>
              <w:rFonts w:hint="eastAsia" w:ascii="Times New Roman" w:hAnsi="Times New Roman" w:eastAsia="方正楷体_GBK" w:cs="Times New Roman"/>
              <w:color w:val="auto"/>
              <w:kern w:val="2"/>
              <w:sz w:val="30"/>
              <w:szCs w:val="30"/>
              <w:lang w:val="en-US" w:eastAsia="zh-CN" w:bidi="ar-SA"/>
            </w:rPr>
            <w:instrText xml:space="preserve">TOC \o "1-2" \h \u </w:instrText>
          </w:r>
          <w:r>
            <w:rPr>
              <w:rFonts w:hint="eastAsia"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_Toc3762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一、 规划背景</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_Toc3762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1</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3"/>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_Toc20110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（一） 发展基础。</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_Toc20110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1</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3"/>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_Toc3873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（二）机遇与挑战。</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_Toc3873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5</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2"/>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_Toc18528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二、总体要求</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_Toc18528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6</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3"/>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_Toc31086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（一）指导思想。</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_Toc31086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6</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3"/>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_Toc9944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（二）基本原则。</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_Toc9944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7</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3"/>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_Toc6154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（三）发展目标。</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_Toc6154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8</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2"/>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_Toc26259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三、重点任务</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_Toc26259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9</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3"/>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_Toc10574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（一）健全多层次医疗保障制度体系。</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_Toc10574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9</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3"/>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_Toc22536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（二）优化医疗保障协同治理体系。</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_Toc22536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14</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3"/>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_Toc8527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（三）健全医疗保障服务支撑体系。</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_Toc8527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19</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2"/>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_Toc22153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四、保障措施</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_Toc22153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23</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3"/>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_Toc3931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（一）加强党的全面领导。</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_Toc3931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23</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3"/>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_Toc30798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（二）加强部门协同配合。</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_Toc30798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24</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3"/>
            <w:tabs>
              <w:tab w:val="right" w:leader="dot" w:pos="8958"/>
            </w:tabs>
            <w:rPr>
              <w:rFonts w:hint="default"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_Toc27755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（三）加强舆论氛围营造。</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_Toc27755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24</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13"/>
            <w:tabs>
              <w:tab w:val="right" w:leader="dot" w:pos="8958"/>
            </w:tabs>
            <w:rPr>
              <w:rFonts w:hint="eastAsia" w:ascii="Times New Roman" w:hAnsi="Times New Roman" w:eastAsia="方正楷体_GBK" w:cs="Times New Roman"/>
              <w:color w:val="auto"/>
              <w:kern w:val="2"/>
              <w:sz w:val="30"/>
              <w:szCs w:val="30"/>
              <w:lang w:val="en-US" w:eastAsia="zh-CN" w:bidi="ar-SA"/>
            </w:rPr>
          </w:pP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HYPERLINK \l _Toc1954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（四）加强规划监测评估。</w:t>
          </w:r>
          <w:r>
            <w:rPr>
              <w:rFonts w:hint="default" w:ascii="Times New Roman" w:hAnsi="Times New Roman" w:eastAsia="方正楷体_GBK" w:cs="Times New Roman"/>
              <w:color w:val="auto"/>
              <w:kern w:val="2"/>
              <w:sz w:val="30"/>
              <w:szCs w:val="30"/>
              <w:lang w:val="en-US" w:eastAsia="zh-CN" w:bidi="ar-SA"/>
            </w:rPr>
            <w:tab/>
          </w:r>
          <w:r>
            <w:rPr>
              <w:rFonts w:hint="default" w:ascii="Times New Roman" w:hAnsi="Times New Roman" w:eastAsia="方正楷体_GBK" w:cs="Times New Roman"/>
              <w:color w:val="auto"/>
              <w:kern w:val="2"/>
              <w:sz w:val="30"/>
              <w:szCs w:val="30"/>
              <w:lang w:val="en-US" w:eastAsia="zh-CN" w:bidi="ar-SA"/>
            </w:rPr>
            <w:fldChar w:fldCharType="begin"/>
          </w:r>
          <w:r>
            <w:rPr>
              <w:rFonts w:hint="default" w:ascii="Times New Roman" w:hAnsi="Times New Roman" w:eastAsia="方正楷体_GBK" w:cs="Times New Roman"/>
              <w:color w:val="auto"/>
              <w:kern w:val="2"/>
              <w:sz w:val="30"/>
              <w:szCs w:val="30"/>
              <w:lang w:val="en-US" w:eastAsia="zh-CN" w:bidi="ar-SA"/>
            </w:rPr>
            <w:instrText xml:space="preserve"> PAGEREF _Toc1954 \h </w:instrText>
          </w:r>
          <w:r>
            <w:rPr>
              <w:rFonts w:hint="default" w:ascii="Times New Roman" w:hAnsi="Times New Roman" w:eastAsia="方正楷体_GBK" w:cs="Times New Roman"/>
              <w:color w:val="auto"/>
              <w:kern w:val="2"/>
              <w:sz w:val="30"/>
              <w:szCs w:val="30"/>
              <w:lang w:val="en-US" w:eastAsia="zh-CN" w:bidi="ar-SA"/>
            </w:rPr>
            <w:fldChar w:fldCharType="separate"/>
          </w:r>
          <w:r>
            <w:rPr>
              <w:rFonts w:hint="default" w:ascii="Times New Roman" w:hAnsi="Times New Roman" w:eastAsia="方正楷体_GBK" w:cs="Times New Roman"/>
              <w:color w:val="auto"/>
              <w:kern w:val="2"/>
              <w:sz w:val="30"/>
              <w:szCs w:val="30"/>
              <w:lang w:val="en-US" w:eastAsia="zh-CN" w:bidi="ar-SA"/>
            </w:rPr>
            <w:t>24</w:t>
          </w:r>
          <w:r>
            <w:rPr>
              <w:rFonts w:hint="default" w:ascii="Times New Roman" w:hAnsi="Times New Roman" w:eastAsia="方正楷体_GBK" w:cs="Times New Roman"/>
              <w:color w:val="auto"/>
              <w:kern w:val="2"/>
              <w:sz w:val="30"/>
              <w:szCs w:val="30"/>
              <w:lang w:val="en-US" w:eastAsia="zh-CN" w:bidi="ar-SA"/>
            </w:rPr>
            <w:fldChar w:fldCharType="end"/>
          </w:r>
          <w:r>
            <w:rPr>
              <w:rFonts w:hint="default" w:ascii="Times New Roman" w:hAnsi="Times New Roman" w:eastAsia="方正楷体_GBK" w:cs="Times New Roman"/>
              <w:color w:val="auto"/>
              <w:kern w:val="2"/>
              <w:sz w:val="30"/>
              <w:szCs w:val="30"/>
              <w:lang w:val="en-US" w:eastAsia="zh-CN" w:bidi="ar-SA"/>
            </w:rPr>
            <w:fldChar w:fldCharType="end"/>
          </w:r>
        </w:p>
        <w:p>
          <w:pPr>
            <w:pStyle w:val="8"/>
            <w:keepNext w:val="0"/>
            <w:keepLines w:val="0"/>
            <w:widowControl/>
            <w:suppressLineNumbers w:val="0"/>
            <w:ind w:firstLine="600" w:firstLineChars="200"/>
            <w:jc w:val="both"/>
            <w:rPr>
              <w:rFonts w:hint="eastAsia" w:ascii="Times New Roman" w:hAnsi="Times New Roman" w:eastAsia="方正楷体_GBK" w:cs="Times New Roman"/>
              <w:color w:val="auto"/>
              <w:kern w:val="2"/>
              <w:sz w:val="30"/>
              <w:szCs w:val="30"/>
              <w:lang w:val="en-US" w:eastAsia="zh-CN" w:bidi="ar-SA"/>
            </w:rPr>
          </w:pPr>
          <w:r>
            <w:rPr>
              <w:rFonts w:hint="eastAsia" w:ascii="Times New Roman" w:hAnsi="Times New Roman" w:eastAsia="方正楷体_GBK" w:cs="Times New Roman"/>
              <w:color w:val="auto"/>
              <w:kern w:val="2"/>
              <w:sz w:val="30"/>
              <w:szCs w:val="30"/>
              <w:lang w:val="en-US" w:eastAsia="zh-CN" w:bidi="ar-SA"/>
            </w:rPr>
            <w:fldChar w:fldCharType="end"/>
          </w:r>
        </w:p>
      </w:sdtContent>
    </w:sdt>
    <w:p>
      <w:pPr>
        <w:pStyle w:val="8"/>
        <w:keepNext w:val="0"/>
        <w:keepLines w:val="0"/>
        <w:widowControl/>
        <w:suppressLineNumbers w:val="0"/>
        <w:jc w:val="both"/>
        <w:rPr>
          <w:rFonts w:hint="eastAsia" w:ascii="仿宋" w:hAnsi="仿宋" w:eastAsia="仿宋" w:cs="仿宋"/>
          <w:color w:val="auto"/>
          <w:kern w:val="2"/>
          <w:sz w:val="32"/>
          <w:szCs w:val="32"/>
          <w:lang w:val="en-US" w:eastAsia="zh-CN" w:bidi="ar-SA"/>
        </w:rPr>
      </w:pPr>
    </w:p>
    <w:p>
      <w:pPr>
        <w:pStyle w:val="8"/>
        <w:keepNext w:val="0"/>
        <w:keepLines w:val="0"/>
        <w:widowControl/>
        <w:suppressLineNumbers w:val="0"/>
        <w:ind w:firstLine="640" w:firstLineChars="200"/>
        <w:jc w:val="both"/>
        <w:rPr>
          <w:rFonts w:hint="eastAsia" w:ascii="仿宋" w:hAnsi="仿宋" w:eastAsia="仿宋" w:cs="仿宋"/>
          <w:color w:val="auto"/>
          <w:kern w:val="2"/>
          <w:sz w:val="32"/>
          <w:szCs w:val="32"/>
          <w:lang w:val="en-US" w:eastAsia="zh-CN" w:bidi="ar-SA"/>
        </w:rPr>
        <w:sectPr>
          <w:footerReference r:id="rId3" w:type="default"/>
          <w:pgSz w:w="11906" w:h="16838"/>
          <w:pgMar w:top="1984" w:right="1474" w:bottom="1134" w:left="1474" w:header="851" w:footer="992" w:gutter="0"/>
          <w:pgNumType w:fmt="decimal" w:start="1"/>
          <w:cols w:space="425" w:num="1"/>
          <w:docGrid w:type="lines" w:linePitch="312" w:charSpace="0"/>
        </w:sectPr>
      </w:pPr>
    </w:p>
    <w:p>
      <w:pPr>
        <w:pStyle w:val="2"/>
        <w:ind w:firstLine="640"/>
        <w:rPr>
          <w:rFonts w:hint="default" w:eastAsia="仿宋_GB2312"/>
          <w:color w:val="auto"/>
          <w:kern w:val="2"/>
          <w:sz w:val="32"/>
          <w:szCs w:val="32"/>
        </w:rPr>
      </w:pPr>
      <w:r>
        <w:rPr>
          <w:rFonts w:eastAsia="仿宋_GB2312"/>
          <w:color w:val="auto"/>
          <w:kern w:val="2"/>
          <w:sz w:val="32"/>
          <w:szCs w:val="32"/>
        </w:rPr>
        <w:t>习近平总书记指出，要加快建立覆盖全民、城乡统筹、权责清晰、保障适度、可持续的多层次医疗保障体系。为深入贯彻党中央关于全面建立中国特色医疗保障制度精神，落实党中央、国务院和</w:t>
      </w:r>
      <w:r>
        <w:rPr>
          <w:rFonts w:hint="eastAsia" w:eastAsia="仿宋_GB2312"/>
          <w:color w:val="auto"/>
          <w:kern w:val="2"/>
          <w:sz w:val="32"/>
          <w:szCs w:val="32"/>
          <w:lang w:val="en-US" w:eastAsia="zh-CN"/>
        </w:rPr>
        <w:t>省</w:t>
      </w:r>
      <w:r>
        <w:rPr>
          <w:rFonts w:eastAsia="仿宋_GB2312"/>
          <w:color w:val="auto"/>
          <w:kern w:val="2"/>
          <w:sz w:val="32"/>
          <w:szCs w:val="32"/>
        </w:rPr>
        <w:t>委、</w:t>
      </w:r>
      <w:r>
        <w:rPr>
          <w:rFonts w:hint="eastAsia" w:eastAsia="仿宋_GB2312"/>
          <w:color w:val="auto"/>
          <w:kern w:val="2"/>
          <w:sz w:val="32"/>
          <w:szCs w:val="32"/>
          <w:lang w:val="en-US" w:eastAsia="zh-CN"/>
        </w:rPr>
        <w:t>省</w:t>
      </w:r>
      <w:r>
        <w:rPr>
          <w:rFonts w:eastAsia="仿宋_GB2312"/>
          <w:color w:val="auto"/>
          <w:kern w:val="2"/>
          <w:sz w:val="32"/>
          <w:szCs w:val="32"/>
        </w:rPr>
        <w:t>政府</w:t>
      </w:r>
      <w:r>
        <w:rPr>
          <w:rFonts w:eastAsia="仿宋_GB2312"/>
          <w:color w:val="auto"/>
          <w:kern w:val="2"/>
          <w:sz w:val="32"/>
          <w:szCs w:val="32"/>
          <w:highlight w:val="none"/>
        </w:rPr>
        <w:t>关于深化医疗保障制度改革的意见</w:t>
      </w:r>
      <w:r>
        <w:rPr>
          <w:rFonts w:eastAsia="仿宋_GB2312"/>
          <w:color w:val="auto"/>
          <w:kern w:val="2"/>
          <w:sz w:val="32"/>
          <w:szCs w:val="32"/>
        </w:rPr>
        <w:t>，推动我</w:t>
      </w:r>
      <w:r>
        <w:rPr>
          <w:rFonts w:hint="eastAsia" w:eastAsia="仿宋_GB2312"/>
          <w:color w:val="auto"/>
          <w:kern w:val="2"/>
          <w:sz w:val="32"/>
          <w:szCs w:val="32"/>
          <w:lang w:val="en-US" w:eastAsia="zh-CN"/>
        </w:rPr>
        <w:t>市</w:t>
      </w:r>
      <w:r>
        <w:rPr>
          <w:rFonts w:eastAsia="仿宋_GB2312"/>
          <w:color w:val="auto"/>
          <w:kern w:val="2"/>
          <w:sz w:val="32"/>
          <w:szCs w:val="32"/>
        </w:rPr>
        <w:t>医疗保障事业高质量发展，</w:t>
      </w:r>
      <w:r>
        <w:rPr>
          <w:rFonts w:eastAsia="仿宋_GB2312"/>
          <w:color w:val="auto"/>
          <w:kern w:val="2"/>
          <w:sz w:val="32"/>
          <w:szCs w:val="32"/>
          <w:highlight w:val="none"/>
        </w:rPr>
        <w:t>依据《中共中央</w:t>
      </w:r>
      <w:r>
        <w:rPr>
          <w:rFonts w:hint="eastAsia" w:eastAsia="仿宋_GB2312"/>
          <w:color w:val="auto"/>
          <w:kern w:val="2"/>
          <w:sz w:val="32"/>
          <w:szCs w:val="32"/>
          <w:highlight w:val="none"/>
          <w:lang w:val="en-US" w:eastAsia="zh-CN"/>
        </w:rPr>
        <w:t xml:space="preserve"> </w:t>
      </w:r>
      <w:r>
        <w:rPr>
          <w:rFonts w:eastAsia="仿宋_GB2312"/>
          <w:color w:val="auto"/>
          <w:kern w:val="2"/>
          <w:sz w:val="32"/>
          <w:szCs w:val="32"/>
          <w:highlight w:val="none"/>
        </w:rPr>
        <w:t>国务院关于深化医疗保障制度改革的意见》</w:t>
      </w:r>
      <w:r>
        <w:rPr>
          <w:rFonts w:hint="eastAsia" w:eastAsia="仿宋_GB2312"/>
          <w:color w:val="auto"/>
          <w:kern w:val="2"/>
          <w:sz w:val="32"/>
          <w:szCs w:val="32"/>
          <w:highlight w:val="none"/>
          <w:lang w:eastAsia="zh-CN"/>
        </w:rPr>
        <w:t>、</w:t>
      </w:r>
      <w:r>
        <w:rPr>
          <w:rFonts w:eastAsia="仿宋_GB2312"/>
          <w:color w:val="auto"/>
          <w:kern w:val="2"/>
          <w:sz w:val="32"/>
          <w:szCs w:val="32"/>
          <w:highlight w:val="none"/>
        </w:rPr>
        <w:t>《</w:t>
      </w:r>
      <w:r>
        <w:rPr>
          <w:rFonts w:hint="eastAsia" w:eastAsia="仿宋_GB2312"/>
          <w:color w:val="auto"/>
          <w:kern w:val="2"/>
          <w:sz w:val="32"/>
          <w:szCs w:val="32"/>
          <w:highlight w:val="none"/>
          <w:lang w:val="en-US" w:eastAsia="zh-CN"/>
        </w:rPr>
        <w:t>国家</w:t>
      </w:r>
      <w:r>
        <w:rPr>
          <w:rFonts w:eastAsia="仿宋_GB2312"/>
          <w:color w:val="auto"/>
          <w:kern w:val="2"/>
          <w:sz w:val="32"/>
          <w:szCs w:val="32"/>
          <w:highlight w:val="none"/>
        </w:rPr>
        <w:t>“十四五”全民医疗保障规划》以及</w:t>
      </w:r>
      <w:r>
        <w:rPr>
          <w:rFonts w:hint="default" w:ascii="Times New Roman" w:hAnsi="Times New Roman" w:eastAsia="仿宋_GB2312" w:cs="Times New Roman"/>
          <w:color w:val="auto"/>
          <w:kern w:val="2"/>
          <w:sz w:val="32"/>
          <w:szCs w:val="32"/>
          <w:highlight w:val="none"/>
          <w:lang w:val="en-US" w:eastAsia="zh-CN" w:bidi="ar-SA"/>
        </w:rPr>
        <w:t>《安徽省省委省政府关于深化医疗保障制度改革的实施意见》《安徽省“十四五”全民医疗保障发展规划》《宿州市国民经济和社会发展第十四个五年规划和二〇三五年远景目标纲要》</w:t>
      </w:r>
      <w:r>
        <w:rPr>
          <w:rFonts w:eastAsia="仿宋_GB2312"/>
          <w:color w:val="auto"/>
          <w:kern w:val="2"/>
          <w:sz w:val="32"/>
          <w:szCs w:val="32"/>
          <w:highlight w:val="none"/>
        </w:rPr>
        <w:t>编制本规划。本规划是我</w:t>
      </w:r>
      <w:r>
        <w:rPr>
          <w:rFonts w:hint="eastAsia" w:eastAsia="仿宋_GB2312"/>
          <w:color w:val="auto"/>
          <w:kern w:val="2"/>
          <w:sz w:val="32"/>
          <w:szCs w:val="32"/>
          <w:lang w:val="en-US" w:eastAsia="zh-CN"/>
        </w:rPr>
        <w:t>市</w:t>
      </w:r>
      <w:r>
        <w:rPr>
          <w:rFonts w:eastAsia="仿宋_GB2312"/>
          <w:color w:val="auto"/>
          <w:kern w:val="2"/>
          <w:sz w:val="32"/>
          <w:szCs w:val="32"/>
        </w:rPr>
        <w:t>医疗保障领域</w:t>
      </w:r>
      <w:r>
        <w:rPr>
          <w:rFonts w:hint="eastAsia" w:eastAsia="仿宋_GB2312"/>
          <w:color w:val="auto"/>
          <w:kern w:val="2"/>
          <w:sz w:val="32"/>
          <w:szCs w:val="32"/>
          <w:lang w:val="en-US" w:eastAsia="zh-CN"/>
        </w:rPr>
        <w:t>独立编制</w:t>
      </w:r>
      <w:r>
        <w:rPr>
          <w:rFonts w:eastAsia="仿宋_GB2312"/>
          <w:color w:val="auto"/>
          <w:kern w:val="2"/>
          <w:sz w:val="32"/>
          <w:szCs w:val="32"/>
        </w:rPr>
        <w:t>的第一个五年规划，是“十四五”时期指导全</w:t>
      </w:r>
      <w:r>
        <w:rPr>
          <w:rFonts w:hint="eastAsia" w:eastAsia="仿宋_GB2312"/>
          <w:color w:val="auto"/>
          <w:kern w:val="2"/>
          <w:sz w:val="32"/>
          <w:szCs w:val="32"/>
          <w:lang w:val="en-US" w:eastAsia="zh-CN"/>
        </w:rPr>
        <w:t>市</w:t>
      </w:r>
      <w:r>
        <w:rPr>
          <w:rFonts w:eastAsia="仿宋_GB2312"/>
          <w:color w:val="auto"/>
          <w:kern w:val="2"/>
          <w:sz w:val="32"/>
          <w:szCs w:val="32"/>
        </w:rPr>
        <w:t>医疗保障</w:t>
      </w:r>
      <w:r>
        <w:rPr>
          <w:rFonts w:hint="eastAsia" w:eastAsia="仿宋_GB2312"/>
          <w:color w:val="auto"/>
          <w:kern w:val="2"/>
          <w:sz w:val="32"/>
          <w:szCs w:val="32"/>
          <w:lang w:val="en-US" w:eastAsia="zh-CN"/>
        </w:rPr>
        <w:t>事业</w:t>
      </w:r>
      <w:r>
        <w:rPr>
          <w:rFonts w:eastAsia="仿宋_GB2312"/>
          <w:color w:val="auto"/>
          <w:kern w:val="2"/>
          <w:sz w:val="32"/>
          <w:szCs w:val="32"/>
        </w:rPr>
        <w:t>发展的行动指南</w:t>
      </w:r>
      <w:r>
        <w:rPr>
          <w:rFonts w:hint="eastAsia" w:eastAsia="仿宋_GB2312"/>
          <w:color w:val="auto"/>
          <w:kern w:val="2"/>
          <w:sz w:val="32"/>
          <w:szCs w:val="32"/>
          <w:lang w:val="en-US" w:eastAsia="zh-CN"/>
        </w:rPr>
        <w:t>和重要依据</w:t>
      </w:r>
      <w:r>
        <w:rPr>
          <w:rFonts w:eastAsia="仿宋_GB2312"/>
          <w:color w:val="auto"/>
          <w:kern w:val="2"/>
          <w:sz w:val="32"/>
          <w:szCs w:val="32"/>
        </w:rPr>
        <w:t>。</w:t>
      </w:r>
    </w:p>
    <w:p>
      <w:pPr>
        <w:pStyle w:val="8"/>
        <w:keepNext w:val="0"/>
        <w:keepLines w:val="0"/>
        <w:widowControl/>
        <w:numPr>
          <w:ilvl w:val="0"/>
          <w:numId w:val="1"/>
        </w:numPr>
        <w:suppressLineNumbers w:val="0"/>
        <w:ind w:firstLine="640" w:firstLineChars="200"/>
        <w:jc w:val="both"/>
        <w:outlineLvl w:val="0"/>
        <w:rPr>
          <w:rFonts w:hint="eastAsia" w:ascii="方正黑体_GBK" w:hAnsi="方正黑体_GBK" w:eastAsia="方正黑体_GBK" w:cs="方正黑体_GBK"/>
          <w:b w:val="0"/>
          <w:bCs/>
          <w:color w:val="auto"/>
          <w:kern w:val="44"/>
          <w:sz w:val="32"/>
          <w:szCs w:val="32"/>
          <w:lang w:val="en-US" w:eastAsia="zh-CN" w:bidi="ar-SA"/>
        </w:rPr>
      </w:pPr>
      <w:bookmarkStart w:id="0" w:name="_Toc3762"/>
      <w:r>
        <w:rPr>
          <w:rFonts w:hint="eastAsia" w:ascii="方正黑体_GBK" w:hAnsi="方正黑体_GBK" w:eastAsia="方正黑体_GBK" w:cs="方正黑体_GBK"/>
          <w:b w:val="0"/>
          <w:bCs/>
          <w:color w:val="auto"/>
          <w:kern w:val="44"/>
          <w:sz w:val="32"/>
          <w:szCs w:val="32"/>
          <w:lang w:val="en-US" w:eastAsia="zh-CN" w:bidi="ar-SA"/>
        </w:rPr>
        <w:t>规划背景</w:t>
      </w:r>
      <w:bookmarkEnd w:id="0"/>
    </w:p>
    <w:p>
      <w:pPr>
        <w:pStyle w:val="8"/>
        <w:keepNext w:val="0"/>
        <w:keepLines w:val="0"/>
        <w:widowControl/>
        <w:numPr>
          <w:ilvl w:val="0"/>
          <w:numId w:val="2"/>
        </w:numPr>
        <w:suppressLineNumbers w:val="0"/>
        <w:ind w:leftChars="200" w:right="0" w:rightChars="0"/>
        <w:jc w:val="both"/>
        <w:outlineLvl w:val="1"/>
        <w:rPr>
          <w:rFonts w:hint="eastAsia" w:ascii="方正楷体_GBK" w:hAnsi="方正楷体_GBK" w:eastAsia="方正楷体_GBK" w:cs="方正楷体_GBK"/>
          <w:b/>
          <w:color w:val="auto"/>
          <w:kern w:val="0"/>
          <w:sz w:val="32"/>
          <w:szCs w:val="32"/>
          <w:lang w:val="en-US" w:eastAsia="zh-CN" w:bidi="ar-SA"/>
        </w:rPr>
      </w:pPr>
      <w:bookmarkStart w:id="1" w:name="_Toc20110"/>
      <w:r>
        <w:rPr>
          <w:rFonts w:hint="eastAsia" w:ascii="方正楷体_GBK" w:hAnsi="方正楷体_GBK" w:eastAsia="方正楷体_GBK" w:cs="方正楷体_GBK"/>
          <w:b/>
          <w:color w:val="auto"/>
          <w:kern w:val="0"/>
          <w:sz w:val="32"/>
          <w:szCs w:val="32"/>
          <w:lang w:val="en-US" w:eastAsia="zh-CN" w:bidi="ar-SA"/>
        </w:rPr>
        <w:t>发展基础</w:t>
      </w:r>
      <w:bookmarkEnd w:id="1"/>
    </w:p>
    <w:p>
      <w:pPr>
        <w:pStyle w:val="8"/>
        <w:keepNext w:val="0"/>
        <w:keepLines w:val="0"/>
        <w:widowControl/>
        <w:suppressLineNumbers w:val="0"/>
        <w:spacing w:line="336" w:lineRule="atLeast"/>
        <w:ind w:left="0" w:firstLine="902" w:firstLineChars="282"/>
        <w:jc w:val="both"/>
        <w:rPr>
          <w:rFonts w:hint="eastAsia" w:ascii="仿宋" w:hAnsi="仿宋" w:eastAsia="仿宋" w:cs="仿宋"/>
          <w:color w:val="auto"/>
          <w:kern w:val="2"/>
          <w:sz w:val="32"/>
          <w:szCs w:val="32"/>
          <w:lang w:bidi="ar-SA"/>
        </w:rPr>
      </w:pPr>
      <w:r>
        <w:rPr>
          <w:rFonts w:ascii="Times New Roman" w:hAnsi="Times New Roman" w:eastAsia="仿宋_GB2312"/>
          <w:color w:val="auto"/>
          <w:sz w:val="32"/>
          <w:szCs w:val="32"/>
        </w:rPr>
        <w:t>“十三五”以来，</w:t>
      </w:r>
      <w:r>
        <w:rPr>
          <w:rFonts w:hint="eastAsia" w:ascii="仿宋" w:hAnsi="仿宋" w:eastAsia="仿宋" w:cs="仿宋"/>
          <w:color w:val="auto"/>
          <w:kern w:val="2"/>
          <w:sz w:val="32"/>
          <w:szCs w:val="32"/>
          <w:lang w:val="en-US" w:eastAsia="zh-CN" w:bidi="ar-SA"/>
        </w:rPr>
        <w:t>宿州市医疗保障事业始终以减轻群众就医负担、增进民生福祉为出发点，</w:t>
      </w:r>
      <w:r>
        <w:rPr>
          <w:rFonts w:hint="eastAsia" w:ascii="仿宋" w:hAnsi="仿宋" w:eastAsia="仿宋" w:cs="仿宋"/>
          <w:color w:val="auto"/>
          <w:kern w:val="2"/>
          <w:sz w:val="32"/>
          <w:szCs w:val="32"/>
          <w:highlight w:val="none"/>
          <w:lang w:val="en-US" w:eastAsia="zh-CN" w:bidi="ar-SA"/>
        </w:rPr>
        <w:t>全面实施基本医保市级统筹，扎实扩大参保覆盖范围，基本建成了保障适度、可持续的多层次医疗保障体系。医保部门在完善制度体系、提高待遇水平、深化医保改革、优化经办服务、加强基金监管等</w:t>
      </w:r>
      <w:r>
        <w:rPr>
          <w:rFonts w:hint="eastAsia" w:ascii="仿宋" w:hAnsi="仿宋" w:eastAsia="仿宋" w:cs="仿宋"/>
          <w:color w:val="auto"/>
          <w:kern w:val="2"/>
          <w:sz w:val="32"/>
          <w:szCs w:val="32"/>
          <w:lang w:val="en-US" w:eastAsia="zh-CN" w:bidi="ar-SA"/>
        </w:rPr>
        <w:t>方面做了大量基础性工作，</w:t>
      </w:r>
      <w:r>
        <w:rPr>
          <w:rFonts w:hint="eastAsia" w:ascii="仿宋" w:hAnsi="仿宋" w:eastAsia="仿宋" w:cs="仿宋"/>
          <w:color w:val="auto"/>
          <w:kern w:val="2"/>
          <w:sz w:val="32"/>
          <w:szCs w:val="32"/>
          <w:lang w:bidi="ar-SA"/>
        </w:rPr>
        <w:t>医保功能作用进一步发挥、群众获得感不断增强，</w:t>
      </w:r>
      <w:r>
        <w:rPr>
          <w:rFonts w:hint="eastAsia" w:ascii="仿宋" w:hAnsi="仿宋" w:eastAsia="仿宋" w:cs="仿宋"/>
          <w:color w:val="auto"/>
          <w:kern w:val="2"/>
          <w:sz w:val="32"/>
          <w:szCs w:val="32"/>
          <w:lang w:val="en-US" w:eastAsia="zh-CN" w:bidi="ar-SA"/>
        </w:rPr>
        <w:t>初步形成了“基本医疗保险+大病保险+医疗救助+补充医疗保险”相互衔接的医疗保障网，为宿州市的经济社会快速发展提供了坚实保障。</w:t>
      </w:r>
    </w:p>
    <w:p>
      <w:pPr>
        <w:keepNext w:val="0"/>
        <w:keepLines w:val="0"/>
        <w:widowControl/>
        <w:suppressLineNumbers w:val="0"/>
        <w:adjustRightInd w:val="0"/>
        <w:spacing w:line="580" w:lineRule="exact"/>
        <w:ind w:firstLine="640"/>
        <w:jc w:val="left"/>
        <w:rPr>
          <w:rFonts w:hint="default" w:ascii="Times New Roman" w:hAnsi="Times New Roman" w:eastAsia="仿宋" w:cs="Times New Roman"/>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——全民医保基本实现。</w:t>
      </w:r>
      <w:r>
        <w:rPr>
          <w:rFonts w:hint="default" w:ascii="Times New Roman" w:hAnsi="Times New Roman" w:eastAsia="仿宋" w:cs="Times New Roman"/>
          <w:color w:val="auto"/>
          <w:kern w:val="2"/>
          <w:sz w:val="32"/>
          <w:szCs w:val="32"/>
          <w:highlight w:val="none"/>
          <w:lang w:val="en-US" w:eastAsia="zh-CN" w:bidi="ar-SA"/>
        </w:rPr>
        <w:t>医保参保覆盖范围逐步扩大。</w:t>
      </w:r>
      <w:r>
        <w:rPr>
          <w:rFonts w:hint="default" w:ascii="Times New Roman" w:hAnsi="Times New Roman" w:eastAsia="仿宋" w:cs="Times New Roman"/>
          <w:color w:val="auto"/>
          <w:kern w:val="2"/>
          <w:sz w:val="32"/>
          <w:szCs w:val="32"/>
          <w:highlight w:val="none"/>
          <w:lang w:bidi="ar-SA"/>
        </w:rPr>
        <w:t>截至2020年</w:t>
      </w:r>
      <w:r>
        <w:rPr>
          <w:rFonts w:hint="default" w:ascii="Times New Roman" w:hAnsi="Times New Roman" w:eastAsia="仿宋" w:cs="Times New Roman"/>
          <w:color w:val="auto"/>
          <w:kern w:val="2"/>
          <w:sz w:val="32"/>
          <w:szCs w:val="32"/>
          <w:highlight w:val="none"/>
          <w:lang w:eastAsia="zh-CN" w:bidi="ar-SA"/>
        </w:rPr>
        <w:t>，</w:t>
      </w:r>
      <w:r>
        <w:rPr>
          <w:rFonts w:hint="default" w:ascii="Times New Roman" w:hAnsi="Times New Roman" w:eastAsia="仿宋" w:cs="Times New Roman"/>
          <w:color w:val="auto"/>
          <w:kern w:val="2"/>
          <w:sz w:val="32"/>
          <w:szCs w:val="32"/>
          <w:highlight w:val="none"/>
          <w:lang w:val="en-US" w:eastAsia="zh-CN" w:bidi="ar-SA"/>
        </w:rPr>
        <w:t>宿州市城乡居民参保</w:t>
      </w:r>
      <w:r>
        <w:rPr>
          <w:rFonts w:hint="eastAsia" w:ascii="Times New Roman" w:hAnsi="Times New Roman" w:eastAsia="仿宋" w:cs="Times New Roman"/>
          <w:color w:val="auto"/>
          <w:kern w:val="2"/>
          <w:sz w:val="32"/>
          <w:szCs w:val="32"/>
          <w:highlight w:val="none"/>
          <w:lang w:val="en-US" w:eastAsia="zh-CN" w:bidi="ar-SA"/>
        </w:rPr>
        <w:t>554.16</w:t>
      </w:r>
      <w:r>
        <w:rPr>
          <w:rFonts w:hint="default" w:ascii="Times New Roman" w:hAnsi="Times New Roman" w:eastAsia="仿宋" w:cs="Times New Roman"/>
          <w:color w:val="auto"/>
          <w:kern w:val="2"/>
          <w:sz w:val="32"/>
          <w:szCs w:val="32"/>
          <w:highlight w:val="none"/>
          <w:lang w:val="en-US" w:eastAsia="zh-CN" w:bidi="ar-SA"/>
        </w:rPr>
        <w:t>万人，</w:t>
      </w:r>
      <w:r>
        <w:rPr>
          <w:rFonts w:hint="eastAsia" w:ascii="Times New Roman" w:hAnsi="Times New Roman" w:eastAsia="仿宋" w:cs="Times New Roman"/>
          <w:color w:val="auto"/>
          <w:kern w:val="2"/>
          <w:sz w:val="32"/>
          <w:szCs w:val="32"/>
          <w:highlight w:val="none"/>
          <w:lang w:val="en-US" w:eastAsia="zh-CN" w:bidi="ar-SA"/>
        </w:rPr>
        <w:t>城镇职工参保34.84万人，</w:t>
      </w:r>
      <w:r>
        <w:rPr>
          <w:rFonts w:hint="default" w:ascii="Times New Roman" w:hAnsi="Times New Roman" w:eastAsia="仿宋" w:cs="Times New Roman"/>
          <w:color w:val="auto"/>
          <w:kern w:val="2"/>
          <w:sz w:val="32"/>
          <w:szCs w:val="32"/>
          <w:highlight w:val="none"/>
          <w:lang w:val="en-US" w:eastAsia="zh-CN" w:bidi="ar-SA"/>
        </w:rPr>
        <w:t>常住</w:t>
      </w:r>
      <w:r>
        <w:rPr>
          <w:rFonts w:hint="default" w:ascii="Times New Roman" w:hAnsi="Times New Roman" w:eastAsia="仿宋" w:cs="Times New Roman"/>
          <w:color w:val="auto"/>
          <w:kern w:val="2"/>
          <w:sz w:val="32"/>
          <w:szCs w:val="32"/>
          <w:highlight w:val="none"/>
          <w:lang w:bidi="ar-SA"/>
        </w:rPr>
        <w:t>人口</w:t>
      </w:r>
      <w:r>
        <w:rPr>
          <w:rFonts w:hint="eastAsia" w:ascii="Times New Roman" w:hAnsi="Times New Roman" w:eastAsia="仿宋" w:cs="Times New Roman"/>
          <w:color w:val="auto"/>
          <w:kern w:val="2"/>
          <w:sz w:val="32"/>
          <w:szCs w:val="32"/>
          <w:highlight w:val="none"/>
          <w:lang w:val="en-US" w:eastAsia="zh-CN" w:bidi="ar-SA"/>
        </w:rPr>
        <w:t>基本</w:t>
      </w:r>
      <w:r>
        <w:rPr>
          <w:rFonts w:hint="default" w:ascii="Times New Roman" w:hAnsi="Times New Roman" w:eastAsia="仿宋" w:cs="Times New Roman"/>
          <w:color w:val="auto"/>
          <w:kern w:val="2"/>
          <w:sz w:val="32"/>
          <w:szCs w:val="32"/>
          <w:highlight w:val="none"/>
          <w:lang w:bidi="ar-SA"/>
        </w:rPr>
        <w:t>医保参保率</w:t>
      </w:r>
      <w:r>
        <w:rPr>
          <w:rFonts w:hint="default" w:ascii="Times New Roman" w:hAnsi="Times New Roman" w:eastAsia="仿宋" w:cs="Times New Roman"/>
          <w:color w:val="auto"/>
          <w:kern w:val="2"/>
          <w:sz w:val="32"/>
          <w:szCs w:val="32"/>
          <w:highlight w:val="none"/>
          <w:lang w:val="en-US" w:eastAsia="zh-CN" w:bidi="ar-SA"/>
        </w:rPr>
        <w:t>超99.9%</w:t>
      </w:r>
      <w:r>
        <w:rPr>
          <w:rFonts w:hint="eastAsia" w:ascii="Times New Roman" w:hAnsi="Times New Roman" w:eastAsia="仿宋" w:cs="Times New Roman"/>
          <w:color w:val="auto"/>
          <w:kern w:val="2"/>
          <w:sz w:val="32"/>
          <w:szCs w:val="32"/>
          <w:highlight w:val="none"/>
          <w:lang w:val="en-US" w:eastAsia="zh-CN" w:bidi="ar-SA"/>
        </w:rPr>
        <w:t>，应保尽保基本实现。</w:t>
      </w:r>
      <w:r>
        <w:rPr>
          <w:rFonts w:hint="default" w:ascii="Times New Roman" w:hAnsi="Times New Roman" w:eastAsia="仿宋" w:cs="Times New Roman"/>
          <w:color w:val="auto"/>
          <w:kern w:val="2"/>
          <w:sz w:val="32"/>
          <w:szCs w:val="32"/>
          <w:highlight w:val="none"/>
          <w:lang w:val="en-US" w:eastAsia="zh-CN" w:bidi="ar-SA"/>
        </w:rPr>
        <w:t>全市城乡医疗救助目标任务完成及时率达100%</w:t>
      </w:r>
      <w:r>
        <w:rPr>
          <w:rFonts w:hint="eastAsia" w:ascii="Times New Roman" w:hAnsi="Times New Roman" w:eastAsia="仿宋" w:cs="Times New Roman"/>
          <w:color w:val="auto"/>
          <w:kern w:val="2"/>
          <w:sz w:val="32"/>
          <w:szCs w:val="32"/>
          <w:highlight w:val="none"/>
          <w:lang w:val="en-US" w:eastAsia="zh-CN" w:bidi="ar-SA"/>
        </w:rPr>
        <w:t>，</w:t>
      </w:r>
      <w:r>
        <w:rPr>
          <w:rFonts w:hint="default" w:ascii="Times New Roman" w:hAnsi="Times New Roman" w:eastAsia="仿宋" w:cs="Times New Roman"/>
          <w:color w:val="auto"/>
          <w:kern w:val="2"/>
          <w:sz w:val="32"/>
          <w:szCs w:val="32"/>
          <w:highlight w:val="none"/>
          <w:lang w:val="en-US" w:eastAsia="zh-CN" w:bidi="ar-SA"/>
        </w:rPr>
        <w:t>做到了应救尽救。基本医疗保险统筹层次稳步提升</w:t>
      </w:r>
      <w:r>
        <w:rPr>
          <w:rFonts w:hint="eastAsia" w:ascii="Times New Roman" w:hAnsi="Times New Roman" w:eastAsia="仿宋" w:cs="Times New Roman"/>
          <w:color w:val="auto"/>
          <w:kern w:val="2"/>
          <w:sz w:val="32"/>
          <w:szCs w:val="32"/>
          <w:highlight w:val="none"/>
          <w:lang w:val="en-US" w:eastAsia="zh-CN" w:bidi="ar-SA"/>
        </w:rPr>
        <w:t>，</w:t>
      </w:r>
      <w:r>
        <w:rPr>
          <w:rFonts w:hint="default" w:ascii="Times New Roman" w:hAnsi="Times New Roman" w:eastAsia="仿宋"/>
          <w:color w:val="auto"/>
          <w:sz w:val="32"/>
          <w:szCs w:val="32"/>
          <w:highlight w:val="none"/>
        </w:rPr>
        <w:t>宿州市人民政府办公室印发</w:t>
      </w:r>
      <w:r>
        <w:rPr>
          <w:rFonts w:hint="eastAsia" w:ascii="Times New Roman" w:hAnsi="Times New Roman" w:eastAsia="仿宋"/>
          <w:color w:val="auto"/>
          <w:sz w:val="32"/>
          <w:szCs w:val="32"/>
          <w:highlight w:val="none"/>
          <w:lang w:eastAsia="zh-CN"/>
        </w:rPr>
        <w:t>《</w:t>
      </w:r>
      <w:r>
        <w:rPr>
          <w:rFonts w:hint="default" w:ascii="Times New Roman" w:hAnsi="Times New Roman" w:eastAsia="仿宋"/>
          <w:color w:val="auto"/>
          <w:sz w:val="32"/>
          <w:szCs w:val="32"/>
          <w:highlight w:val="none"/>
        </w:rPr>
        <w:t>宿州市统一城乡居民基本医疗保险和大病保险保障待遇实施方案（试行）</w:t>
      </w:r>
      <w:r>
        <w:rPr>
          <w:rFonts w:hint="eastAsia" w:ascii="Times New Roman" w:hAnsi="Times New Roman" w:eastAsia="仿宋"/>
          <w:color w:val="auto"/>
          <w:sz w:val="32"/>
          <w:szCs w:val="32"/>
          <w:highlight w:val="none"/>
          <w:lang w:eastAsia="zh-CN"/>
        </w:rPr>
        <w:t>》，</w:t>
      </w:r>
      <w:r>
        <w:rPr>
          <w:rFonts w:hint="default" w:ascii="Times New Roman" w:hAnsi="Times New Roman" w:eastAsia="仿宋" w:cs="Times New Roman"/>
          <w:color w:val="auto"/>
          <w:kern w:val="2"/>
          <w:sz w:val="32"/>
          <w:szCs w:val="32"/>
          <w:highlight w:val="none"/>
          <w:lang w:val="en-US" w:eastAsia="zh-CN" w:bidi="ar-SA"/>
        </w:rPr>
        <w:t>全市统一</w:t>
      </w:r>
      <w:r>
        <w:rPr>
          <w:rFonts w:hint="eastAsia" w:ascii="Times New Roman" w:hAnsi="Times New Roman" w:eastAsia="仿宋" w:cs="Times New Roman"/>
          <w:color w:val="auto"/>
          <w:kern w:val="2"/>
          <w:sz w:val="32"/>
          <w:szCs w:val="32"/>
          <w:highlight w:val="none"/>
          <w:lang w:val="en-US" w:eastAsia="zh-CN" w:bidi="ar-SA"/>
        </w:rPr>
        <w:t>了</w:t>
      </w:r>
      <w:r>
        <w:rPr>
          <w:rFonts w:hint="default" w:ascii="Times New Roman" w:hAnsi="Times New Roman" w:eastAsia="仿宋" w:cs="Times New Roman"/>
          <w:color w:val="auto"/>
          <w:kern w:val="2"/>
          <w:sz w:val="32"/>
          <w:szCs w:val="32"/>
          <w:highlight w:val="none"/>
          <w:lang w:val="en-US" w:eastAsia="zh-CN" w:bidi="ar-SA"/>
        </w:rPr>
        <w:t>城乡居民基本医疗保险和大病保险保障待遇</w:t>
      </w:r>
      <w:r>
        <w:rPr>
          <w:rFonts w:hint="eastAsia" w:ascii="Times New Roman" w:hAnsi="Times New Roman" w:eastAsia="仿宋" w:cs="Times New Roman"/>
          <w:color w:val="auto"/>
          <w:kern w:val="2"/>
          <w:sz w:val="32"/>
          <w:szCs w:val="32"/>
          <w:highlight w:val="none"/>
          <w:lang w:val="en-US" w:eastAsia="zh-CN" w:bidi="ar-SA"/>
        </w:rPr>
        <w:t>，基本</w:t>
      </w:r>
      <w:r>
        <w:rPr>
          <w:rFonts w:hint="default" w:ascii="Times New Roman" w:hAnsi="Times New Roman" w:eastAsia="仿宋" w:cs="Times New Roman"/>
          <w:color w:val="auto"/>
          <w:kern w:val="2"/>
          <w:sz w:val="32"/>
          <w:szCs w:val="32"/>
          <w:highlight w:val="none"/>
          <w:lang w:val="en-US" w:eastAsia="zh-CN" w:bidi="ar-SA"/>
        </w:rPr>
        <w:t>实现</w:t>
      </w:r>
      <w:r>
        <w:rPr>
          <w:rFonts w:hint="eastAsia" w:ascii="Times New Roman" w:hAnsi="Times New Roman" w:eastAsia="仿宋" w:cs="Times New Roman"/>
          <w:color w:val="auto"/>
          <w:kern w:val="2"/>
          <w:sz w:val="32"/>
          <w:szCs w:val="32"/>
          <w:highlight w:val="none"/>
          <w:lang w:bidi="ar-SA"/>
        </w:rPr>
        <w:t>基本政策、待遇标准、基金管理、经办管理、定点管理、信息系统</w:t>
      </w:r>
      <w:r>
        <w:rPr>
          <w:rFonts w:hint="eastAsia" w:ascii="Times New Roman" w:hAnsi="Times New Roman" w:eastAsia="仿宋" w:cs="Times New Roman"/>
          <w:color w:val="auto"/>
          <w:kern w:val="2"/>
          <w:sz w:val="32"/>
          <w:szCs w:val="32"/>
          <w:highlight w:val="none"/>
          <w:lang w:eastAsia="zh-CN" w:bidi="ar-SA"/>
        </w:rPr>
        <w:t>“</w:t>
      </w:r>
      <w:r>
        <w:rPr>
          <w:rFonts w:hint="eastAsia" w:ascii="Times New Roman" w:hAnsi="Times New Roman" w:eastAsia="仿宋" w:cs="Times New Roman"/>
          <w:color w:val="auto"/>
          <w:kern w:val="2"/>
          <w:sz w:val="32"/>
          <w:szCs w:val="32"/>
          <w:highlight w:val="none"/>
          <w:lang w:val="en-US" w:eastAsia="zh-CN" w:bidi="ar-SA"/>
        </w:rPr>
        <w:t>六统一”</w:t>
      </w:r>
      <w:r>
        <w:rPr>
          <w:rFonts w:hint="default" w:ascii="Times New Roman" w:hAnsi="Times New Roman" w:eastAsia="仿宋" w:cs="Times New Roman"/>
          <w:color w:val="auto"/>
          <w:kern w:val="2"/>
          <w:sz w:val="32"/>
          <w:szCs w:val="32"/>
          <w:highlight w:val="none"/>
          <w:lang w:val="en-US" w:eastAsia="zh-CN" w:bidi="ar-SA"/>
        </w:rPr>
        <w:t>，</w:t>
      </w:r>
      <w:r>
        <w:rPr>
          <w:rFonts w:hint="eastAsia" w:ascii="Times New Roman" w:hAnsi="Times New Roman" w:eastAsia="仿宋" w:cs="Times New Roman"/>
          <w:color w:val="auto"/>
          <w:kern w:val="2"/>
          <w:sz w:val="32"/>
          <w:szCs w:val="32"/>
          <w:highlight w:val="none"/>
          <w:lang w:val="en-US" w:eastAsia="zh-CN" w:bidi="ar-SA"/>
        </w:rPr>
        <w:t>全面</w:t>
      </w:r>
      <w:r>
        <w:rPr>
          <w:rFonts w:hint="default" w:ascii="Times New Roman" w:hAnsi="Times New Roman" w:eastAsia="仿宋" w:cs="Times New Roman"/>
          <w:color w:val="auto"/>
          <w:kern w:val="2"/>
          <w:sz w:val="32"/>
          <w:szCs w:val="32"/>
          <w:highlight w:val="none"/>
          <w:lang w:val="en-US" w:eastAsia="zh-CN" w:bidi="ar-SA"/>
        </w:rPr>
        <w:t>做实医保基金市级统筹</w:t>
      </w:r>
      <w:r>
        <w:rPr>
          <w:rFonts w:hint="eastAsia" w:ascii="Times New Roman" w:hAnsi="Times New Roman" w:eastAsia="仿宋" w:cs="Times New Roman"/>
          <w:color w:val="auto"/>
          <w:kern w:val="2"/>
          <w:sz w:val="32"/>
          <w:szCs w:val="32"/>
          <w:highlight w:val="none"/>
          <w:lang w:val="en-US" w:eastAsia="zh-CN" w:bidi="ar-SA"/>
        </w:rPr>
        <w:t>。</w:t>
      </w:r>
    </w:p>
    <w:p>
      <w:pPr>
        <w:pStyle w:val="8"/>
        <w:keepNext w:val="0"/>
        <w:keepLines w:val="0"/>
        <w:widowControl/>
        <w:suppressLineNumbers w:val="0"/>
        <w:ind w:firstLine="640"/>
        <w:jc w:val="both"/>
        <w:rPr>
          <w:rFonts w:hint="default" w:ascii="华文仿宋" w:hAnsi="华文仿宋" w:eastAsia="华文仿宋" w:cs="华文仿宋"/>
          <w:color w:val="auto"/>
          <w:sz w:val="32"/>
          <w:szCs w:val="32"/>
          <w:highlight w:val="none"/>
          <w:lang w:val="en-US" w:eastAsia="zh-CN" w:bidi="ar-SA"/>
        </w:rPr>
      </w:pPr>
      <w:r>
        <w:rPr>
          <w:rFonts w:hint="default" w:ascii="Times New Roman" w:hAnsi="Times New Roman" w:eastAsia="仿宋" w:cs="Times New Roman"/>
          <w:b/>
          <w:bCs/>
          <w:color w:val="auto"/>
          <w:kern w:val="2"/>
          <w:sz w:val="32"/>
          <w:szCs w:val="32"/>
          <w:highlight w:val="none"/>
          <w:lang w:val="en-US" w:eastAsia="zh-CN" w:bidi="ar-SA"/>
        </w:rPr>
        <w:t>——医保待遇稳步提升。</w:t>
      </w:r>
      <w:r>
        <w:rPr>
          <w:rFonts w:hint="eastAsia" w:ascii="Times New Roman" w:hAnsi="Times New Roman" w:eastAsia="仿宋" w:cs="Times New Roman"/>
          <w:b w:val="0"/>
          <w:bCs w:val="0"/>
          <w:color w:val="auto"/>
          <w:kern w:val="2"/>
          <w:sz w:val="32"/>
          <w:szCs w:val="32"/>
          <w:highlight w:val="none"/>
          <w:lang w:val="en-US" w:eastAsia="zh-CN" w:bidi="ar-SA"/>
        </w:rPr>
        <w:t>截至2020年，全市城镇</w:t>
      </w:r>
      <w:r>
        <w:rPr>
          <w:rFonts w:hint="eastAsia" w:ascii="Times New Roman" w:hAnsi="Times New Roman" w:eastAsia="仿宋" w:cs="Times New Roman"/>
          <w:color w:val="auto"/>
          <w:kern w:val="2"/>
          <w:sz w:val="32"/>
          <w:szCs w:val="32"/>
          <w:highlight w:val="none"/>
          <w:lang w:bidi="ar-SA"/>
        </w:rPr>
        <w:t>职工和城乡居民</w:t>
      </w:r>
      <w:r>
        <w:rPr>
          <w:rFonts w:hint="eastAsia" w:ascii="Times New Roman" w:hAnsi="Times New Roman" w:eastAsia="仿宋" w:cs="Times New Roman"/>
          <w:color w:val="auto"/>
          <w:kern w:val="2"/>
          <w:sz w:val="32"/>
          <w:szCs w:val="32"/>
          <w:highlight w:val="none"/>
          <w:lang w:val="en-US" w:eastAsia="zh-CN" w:bidi="ar-SA"/>
        </w:rPr>
        <w:t>基本</w:t>
      </w:r>
      <w:r>
        <w:rPr>
          <w:rFonts w:hint="eastAsia" w:ascii="Times New Roman" w:hAnsi="Times New Roman" w:eastAsia="仿宋" w:cs="Times New Roman"/>
          <w:color w:val="auto"/>
          <w:kern w:val="2"/>
          <w:sz w:val="32"/>
          <w:szCs w:val="32"/>
          <w:highlight w:val="none"/>
          <w:lang w:bidi="ar-SA"/>
        </w:rPr>
        <w:t>医保政策范围内住院费用报销比例分别稳定</w:t>
      </w:r>
      <w:r>
        <w:rPr>
          <w:rFonts w:hint="eastAsia" w:ascii="Times New Roman" w:hAnsi="Times New Roman" w:eastAsia="仿宋" w:cs="Times New Roman"/>
          <w:color w:val="auto"/>
          <w:kern w:val="2"/>
          <w:sz w:val="32"/>
          <w:szCs w:val="32"/>
          <w:highlight w:val="none"/>
          <w:lang w:val="en-US" w:eastAsia="zh-CN" w:bidi="ar-SA"/>
        </w:rPr>
        <w:t>在85%</w:t>
      </w:r>
      <w:r>
        <w:rPr>
          <w:rFonts w:hint="eastAsia" w:ascii="Times New Roman" w:hAnsi="Times New Roman" w:eastAsia="仿宋" w:cs="Times New Roman"/>
          <w:color w:val="auto"/>
          <w:kern w:val="2"/>
          <w:sz w:val="32"/>
          <w:szCs w:val="32"/>
          <w:highlight w:val="none"/>
          <w:lang w:bidi="ar-SA"/>
        </w:rPr>
        <w:t>和</w:t>
      </w:r>
      <w:r>
        <w:rPr>
          <w:rFonts w:hint="eastAsia" w:ascii="Times New Roman" w:hAnsi="Times New Roman" w:eastAsia="仿宋" w:cs="Times New Roman"/>
          <w:color w:val="auto"/>
          <w:kern w:val="2"/>
          <w:sz w:val="32"/>
          <w:szCs w:val="32"/>
          <w:highlight w:val="none"/>
          <w:lang w:val="en-US" w:eastAsia="zh-CN" w:bidi="ar-SA"/>
        </w:rPr>
        <w:t xml:space="preserve">   75%</w:t>
      </w:r>
      <w:r>
        <w:rPr>
          <w:rFonts w:hint="eastAsia" w:ascii="Times New Roman" w:hAnsi="Times New Roman" w:eastAsia="仿宋" w:cs="Times New Roman"/>
          <w:color w:val="auto"/>
          <w:kern w:val="2"/>
          <w:sz w:val="32"/>
          <w:szCs w:val="32"/>
          <w:highlight w:val="none"/>
          <w:lang w:bidi="ar-SA"/>
        </w:rPr>
        <w:t>左右。大病保险待遇</w:t>
      </w:r>
      <w:r>
        <w:rPr>
          <w:rFonts w:hint="eastAsia" w:ascii="Times New Roman" w:hAnsi="Times New Roman" w:eastAsia="仿宋" w:cs="Times New Roman"/>
          <w:color w:val="auto"/>
          <w:kern w:val="2"/>
          <w:sz w:val="32"/>
          <w:szCs w:val="32"/>
          <w:highlight w:val="none"/>
          <w:lang w:val="en-US" w:eastAsia="zh-CN" w:bidi="ar-SA"/>
        </w:rPr>
        <w:t>水平</w:t>
      </w:r>
      <w:r>
        <w:rPr>
          <w:rFonts w:hint="eastAsia" w:ascii="Times New Roman" w:hAnsi="Times New Roman" w:eastAsia="仿宋" w:cs="Times New Roman"/>
          <w:color w:val="auto"/>
          <w:kern w:val="2"/>
          <w:sz w:val="32"/>
          <w:szCs w:val="32"/>
          <w:highlight w:val="none"/>
          <w:lang w:bidi="ar-SA"/>
        </w:rPr>
        <w:t>逐步提高，</w:t>
      </w:r>
      <w:r>
        <w:rPr>
          <w:rFonts w:hint="eastAsia" w:ascii="Times New Roman" w:hAnsi="Times New Roman" w:eastAsia="仿宋" w:cs="Times New Roman"/>
          <w:color w:val="auto"/>
          <w:kern w:val="2"/>
          <w:sz w:val="32"/>
          <w:szCs w:val="32"/>
          <w:highlight w:val="none"/>
          <w:lang w:val="en-US" w:eastAsia="zh-CN" w:bidi="ar-SA"/>
        </w:rPr>
        <w:t>城乡居民大病保险起付线降至1万元，</w:t>
      </w:r>
      <w:r>
        <w:rPr>
          <w:rFonts w:hint="eastAsia" w:ascii="Times New Roman" w:hAnsi="Times New Roman" w:eastAsia="仿宋" w:cs="Times New Roman"/>
          <w:color w:val="auto"/>
          <w:kern w:val="2"/>
          <w:sz w:val="32"/>
          <w:szCs w:val="32"/>
          <w:highlight w:val="none"/>
          <w:lang w:bidi="ar-SA"/>
        </w:rPr>
        <w:t>报销比例</w:t>
      </w:r>
      <w:r>
        <w:rPr>
          <w:rFonts w:hint="eastAsia" w:ascii="Times New Roman" w:hAnsi="Times New Roman" w:eastAsia="仿宋" w:cs="Times New Roman"/>
          <w:color w:val="auto"/>
          <w:kern w:val="2"/>
          <w:sz w:val="32"/>
          <w:szCs w:val="32"/>
          <w:highlight w:val="none"/>
          <w:lang w:val="en-US" w:eastAsia="zh-CN" w:bidi="ar-SA"/>
        </w:rPr>
        <w:t>提高至65%左右。全市累计</w:t>
      </w:r>
      <w:r>
        <w:rPr>
          <w:rFonts w:hint="default" w:ascii="Times New Roman" w:hAnsi="Times New Roman" w:eastAsia="仿宋" w:cs="Times New Roman"/>
          <w:color w:val="auto"/>
          <w:kern w:val="2"/>
          <w:sz w:val="32"/>
          <w:szCs w:val="32"/>
          <w:highlight w:val="none"/>
          <w:lang w:val="en-US" w:eastAsia="zh-CN" w:bidi="ar-SA"/>
        </w:rPr>
        <w:t>救助困难人员和困难职工90</w:t>
      </w:r>
      <w:r>
        <w:rPr>
          <w:rFonts w:hint="eastAsia" w:ascii="Times New Roman" w:hAnsi="Times New Roman" w:eastAsia="仿宋" w:cs="Times New Roman"/>
          <w:color w:val="auto"/>
          <w:kern w:val="2"/>
          <w:sz w:val="32"/>
          <w:szCs w:val="32"/>
          <w:highlight w:val="none"/>
          <w:lang w:val="en-US" w:eastAsia="zh-CN" w:bidi="ar-SA"/>
        </w:rPr>
        <w:t>.3万</w:t>
      </w:r>
      <w:r>
        <w:rPr>
          <w:rFonts w:hint="default" w:ascii="Times New Roman" w:hAnsi="Times New Roman" w:eastAsia="仿宋" w:cs="Times New Roman"/>
          <w:color w:val="auto"/>
          <w:kern w:val="2"/>
          <w:sz w:val="32"/>
          <w:szCs w:val="32"/>
          <w:highlight w:val="none"/>
          <w:lang w:val="en-US" w:eastAsia="zh-CN" w:bidi="ar-SA"/>
        </w:rPr>
        <w:t>人次，救助金额</w:t>
      </w:r>
      <w:r>
        <w:rPr>
          <w:rFonts w:hint="eastAsia" w:ascii="Times New Roman" w:hAnsi="Times New Roman" w:eastAsia="仿宋" w:cs="Times New Roman"/>
          <w:color w:val="auto"/>
          <w:kern w:val="2"/>
          <w:sz w:val="32"/>
          <w:szCs w:val="32"/>
          <w:highlight w:val="none"/>
          <w:lang w:val="en-US" w:eastAsia="zh-CN" w:bidi="ar-SA"/>
        </w:rPr>
        <w:t>达1.54亿元</w:t>
      </w:r>
      <w:r>
        <w:rPr>
          <w:rFonts w:hint="default" w:ascii="Times New Roman" w:hAnsi="Times New Roman" w:eastAsia="仿宋" w:cs="Times New Roman"/>
          <w:color w:val="auto"/>
          <w:kern w:val="2"/>
          <w:sz w:val="32"/>
          <w:szCs w:val="32"/>
          <w:highlight w:val="none"/>
          <w:lang w:val="en-US" w:eastAsia="zh-CN" w:bidi="ar-SA"/>
        </w:rPr>
        <w:t>。不断强化“两病”门诊用药保障机制</w:t>
      </w:r>
      <w:r>
        <w:rPr>
          <w:rFonts w:hint="eastAsia" w:ascii="Times New Roman" w:hAnsi="Times New Roman" w:eastAsia="仿宋" w:cs="Times New Roman"/>
          <w:color w:val="auto"/>
          <w:kern w:val="2"/>
          <w:sz w:val="32"/>
          <w:szCs w:val="32"/>
          <w:highlight w:val="none"/>
          <w:lang w:val="en-US" w:eastAsia="zh-CN" w:bidi="ar-SA"/>
        </w:rPr>
        <w:t>，逐步实现“两病”规范化管理与门诊用药保障一体化建档备案、确认定点、享受待遇，持续推进国家和省集采药品、耗材政策落地惠民。</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 w:cs="Times New Roman"/>
          <w:b w:val="0"/>
          <w:bCs w:val="0"/>
          <w:color w:val="auto"/>
          <w:sz w:val="32"/>
          <w:szCs w:val="32"/>
          <w:highlight w:val="none"/>
          <w:lang w:val="en-US" w:eastAsia="zh-CN" w:bidi="ar-SA"/>
        </w:rPr>
        <w:sectPr>
          <w:footerReference r:id="rId4" w:type="default"/>
          <w:pgSz w:w="11906" w:h="16838"/>
          <w:pgMar w:top="1984" w:right="1474" w:bottom="1134" w:left="1474" w:header="851" w:footer="992" w:gutter="0"/>
          <w:pgNumType w:fmt="decimal" w:start="1"/>
          <w:cols w:space="425" w:num="1"/>
          <w:docGrid w:type="lines" w:linePitch="312" w:charSpace="0"/>
        </w:sectPr>
      </w:pPr>
      <w:r>
        <w:rPr>
          <w:rFonts w:hint="eastAsia" w:ascii="仿宋" w:hAnsi="仿宋" w:eastAsia="仿宋" w:cs="仿宋"/>
          <w:b/>
          <w:bCs/>
          <w:color w:val="auto"/>
          <w:kern w:val="2"/>
          <w:sz w:val="32"/>
          <w:szCs w:val="32"/>
          <w:highlight w:val="none"/>
          <w:lang w:val="en-US" w:eastAsia="zh-CN" w:bidi="ar-SA"/>
        </w:rPr>
        <w:t>——</w:t>
      </w:r>
      <w:r>
        <w:rPr>
          <w:rFonts w:hint="eastAsia" w:ascii="华文仿宋" w:hAnsi="华文仿宋" w:eastAsia="华文仿宋" w:cs="华文仿宋"/>
          <w:b/>
          <w:bCs/>
          <w:color w:val="auto"/>
          <w:sz w:val="32"/>
          <w:szCs w:val="32"/>
          <w:highlight w:val="none"/>
          <w:lang w:val="en-US" w:eastAsia="zh-CN" w:bidi="ar-SA"/>
        </w:rPr>
        <w:t>医保改革不断深入。</w:t>
      </w:r>
      <w:r>
        <w:rPr>
          <w:rFonts w:hint="eastAsia" w:ascii="Times New Roman" w:hAnsi="Times New Roman" w:eastAsia="仿宋" w:cs="Times New Roman"/>
          <w:b w:val="0"/>
          <w:bCs w:val="0"/>
          <w:color w:val="auto"/>
          <w:sz w:val="32"/>
          <w:szCs w:val="32"/>
          <w:highlight w:val="none"/>
          <w:lang w:val="en-US" w:eastAsia="zh-CN" w:bidi="ar-SA"/>
        </w:rPr>
        <w:t>持续深化医保支付方式改革，建立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b w:val="0"/>
          <w:bCs w:val="0"/>
          <w:color w:val="auto"/>
          <w:sz w:val="32"/>
          <w:szCs w:val="32"/>
          <w:highlight w:val="none"/>
          <w:lang w:val="en-US" w:eastAsia="zh-CN" w:bidi="ar-SA"/>
        </w:rPr>
        <w:t>管用高效的医保支付机制，先后开展县域医共体、日间病床、中医药适宜技术门诊按病种付费、精神病类疾病按床日付费、日间手术和职工个人账户家庭共济改革试点工作，执行全省统一的按病种付费政策。</w:t>
      </w:r>
      <w:r>
        <w:rPr>
          <w:rFonts w:hint="eastAsia" w:ascii="Times New Roman" w:hAnsi="Times New Roman" w:eastAsia="仿宋" w:cs="Times New Roman"/>
          <w:color w:val="auto"/>
          <w:kern w:val="2"/>
          <w:sz w:val="32"/>
          <w:szCs w:val="32"/>
          <w:highlight w:val="none"/>
          <w:lang w:val="en-US" w:eastAsia="zh-CN" w:bidi="ar-SA"/>
        </w:rPr>
        <w:t>全面完善医保协议管理，建立医保协议医师制度。</w:t>
      </w:r>
      <w:r>
        <w:rPr>
          <w:rFonts w:hint="eastAsia" w:ascii="Times New Roman" w:hAnsi="Times New Roman" w:eastAsia="仿宋" w:cs="Times New Roman"/>
          <w:b w:val="0"/>
          <w:bCs w:val="0"/>
          <w:color w:val="auto"/>
          <w:sz w:val="32"/>
          <w:szCs w:val="32"/>
          <w:highlight w:val="none"/>
          <w:lang w:val="en-US" w:eastAsia="zh-CN" w:bidi="ar-SA"/>
        </w:rPr>
        <w:t>扎实推进基金监管方式创新省级试点，建立部门联动、举报奖励、案件移送等制度。</w:t>
      </w:r>
      <w:r>
        <w:rPr>
          <w:rFonts w:hint="eastAsia" w:ascii="Times New Roman" w:hAnsi="Times New Roman" w:eastAsia="仿宋" w:cs="Times New Roman"/>
          <w:b w:val="0"/>
          <w:bCs w:val="0"/>
          <w:i w:val="0"/>
          <w:caps w:val="0"/>
          <w:color w:val="auto"/>
          <w:spacing w:val="0"/>
          <w:sz w:val="32"/>
          <w:szCs w:val="32"/>
          <w:highlight w:val="none"/>
          <w:shd w:val="clear"/>
          <w:lang w:val="en-US" w:eastAsia="zh-CN"/>
        </w:rPr>
        <w:t>深入推动医疗服务价格改革政策落地，</w:t>
      </w:r>
      <w:r>
        <w:rPr>
          <w:rFonts w:hint="eastAsia" w:ascii="Times New Roman" w:hAnsi="Times New Roman" w:eastAsia="仿宋" w:cs="Times New Roman"/>
          <w:color w:val="auto"/>
          <w:sz w:val="32"/>
          <w:szCs w:val="32"/>
          <w:highlight w:val="none"/>
          <w:lang w:val="en-US" w:eastAsia="zh-CN"/>
        </w:rPr>
        <w:t>药品、耗材集中带量采购常态化，</w:t>
      </w:r>
      <w:r>
        <w:rPr>
          <w:rFonts w:hint="eastAsia" w:ascii="Times New Roman" w:hAnsi="Times New Roman" w:eastAsia="仿宋" w:cs="Times New Roman"/>
          <w:b w:val="0"/>
          <w:bCs w:val="0"/>
          <w:i w:val="0"/>
          <w:caps w:val="0"/>
          <w:color w:val="auto"/>
          <w:spacing w:val="0"/>
          <w:sz w:val="32"/>
          <w:szCs w:val="32"/>
          <w:highlight w:val="none"/>
          <w:shd w:val="clear"/>
          <w:lang w:val="en-US" w:eastAsia="zh-CN"/>
        </w:rPr>
        <w:t>共有六批次157个国家中选药品在我市落地，平均降价54%，累计节约采购资金约1.4亿元。</w:t>
      </w:r>
    </w:p>
    <w:p>
      <w:pPr>
        <w:keepNext w:val="0"/>
        <w:keepLines w:val="0"/>
        <w:pageBreakBefore w:val="0"/>
        <w:widowControl w:val="0"/>
        <w:numPr>
          <w:ilvl w:val="0"/>
          <w:numId w:val="0"/>
        </w:numPr>
        <w:kinsoku/>
        <w:wordWrap/>
        <w:overflowPunct/>
        <w:topLinePunct w:val="0"/>
        <w:autoSpaceDE/>
        <w:autoSpaceDN/>
        <w:bidi w:val="0"/>
        <w:adjustRightInd/>
        <w:snapToGrid/>
        <w:ind w:firstLine="641"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eastAsia" w:ascii="华文仿宋" w:hAnsi="华文仿宋" w:eastAsia="华文仿宋" w:cs="华文仿宋"/>
          <w:b/>
          <w:bCs/>
          <w:color w:val="auto"/>
          <w:sz w:val="32"/>
          <w:szCs w:val="32"/>
          <w:highlight w:val="none"/>
          <w:lang w:val="en-US" w:eastAsia="zh-CN" w:bidi="ar-SA"/>
        </w:rPr>
        <w:t>——发展基础不断夯实。</w:t>
      </w:r>
      <w:r>
        <w:rPr>
          <w:rFonts w:hint="default" w:ascii="Times New Roman" w:hAnsi="Times New Roman" w:eastAsia="仿宋" w:cs="Times New Roman"/>
          <w:color w:val="auto"/>
          <w:kern w:val="2"/>
          <w:sz w:val="32"/>
          <w:szCs w:val="32"/>
          <w:highlight w:val="none"/>
          <w:lang w:val="en-US" w:eastAsia="zh-CN" w:bidi="ar-SA"/>
        </w:rPr>
        <w:t>以标准化建设为基础，</w:t>
      </w:r>
      <w:r>
        <w:rPr>
          <w:rFonts w:hint="eastAsia" w:ascii="Times New Roman" w:hAnsi="Times New Roman" w:eastAsia="仿宋" w:cs="Times New Roman"/>
          <w:color w:val="auto"/>
          <w:kern w:val="2"/>
          <w:sz w:val="32"/>
          <w:szCs w:val="32"/>
          <w:highlight w:val="none"/>
          <w:lang w:val="en-US" w:eastAsia="zh-CN" w:bidi="ar-SA"/>
        </w:rPr>
        <w:t>国家医保信息业务编码落地应用，</w:t>
      </w:r>
      <w:r>
        <w:rPr>
          <w:rFonts w:hint="default" w:ascii="Times New Roman" w:hAnsi="Times New Roman" w:eastAsia="仿宋" w:cs="Times New Roman"/>
          <w:b w:val="0"/>
          <w:bCs w:val="0"/>
          <w:color w:val="auto"/>
          <w:kern w:val="2"/>
          <w:sz w:val="32"/>
          <w:szCs w:val="32"/>
          <w:highlight w:val="none"/>
          <w:lang w:val="en-US" w:eastAsia="zh-CN" w:bidi="ar-SA"/>
        </w:rPr>
        <w:t>截</w:t>
      </w:r>
      <w:r>
        <w:rPr>
          <w:rFonts w:hint="eastAsia" w:ascii="Times New Roman" w:hAnsi="Times New Roman" w:eastAsia="仿宋" w:cs="Times New Roman"/>
          <w:b w:val="0"/>
          <w:bCs w:val="0"/>
          <w:color w:val="auto"/>
          <w:kern w:val="2"/>
          <w:sz w:val="32"/>
          <w:szCs w:val="32"/>
          <w:highlight w:val="none"/>
          <w:lang w:val="en-US" w:eastAsia="zh-CN" w:bidi="ar-SA"/>
        </w:rPr>
        <w:t>至2020年</w:t>
      </w:r>
      <w:r>
        <w:rPr>
          <w:rFonts w:hint="default" w:ascii="Times New Roman" w:hAnsi="Times New Roman" w:eastAsia="仿宋" w:cs="Times New Roman"/>
          <w:b w:val="0"/>
          <w:bCs w:val="0"/>
          <w:color w:val="auto"/>
          <w:kern w:val="2"/>
          <w:sz w:val="32"/>
          <w:szCs w:val="32"/>
          <w:highlight w:val="none"/>
          <w:lang w:val="en-US" w:eastAsia="zh-CN" w:bidi="ar-SA"/>
        </w:rPr>
        <w:t>，完成赋码上报医疗机构</w:t>
      </w:r>
      <w:r>
        <w:rPr>
          <w:rFonts w:hint="eastAsia" w:ascii="Times New Roman" w:hAnsi="Times New Roman" w:eastAsia="仿宋" w:cs="Times New Roman"/>
          <w:b w:val="0"/>
          <w:bCs w:val="0"/>
          <w:color w:val="auto"/>
          <w:kern w:val="2"/>
          <w:sz w:val="32"/>
          <w:szCs w:val="32"/>
          <w:highlight w:val="none"/>
          <w:lang w:val="en-US" w:eastAsia="zh-CN" w:bidi="ar-SA"/>
        </w:rPr>
        <w:t>230</w:t>
      </w:r>
      <w:r>
        <w:rPr>
          <w:rFonts w:hint="default" w:ascii="Times New Roman" w:hAnsi="Times New Roman" w:eastAsia="仿宋" w:cs="Times New Roman"/>
          <w:b w:val="0"/>
          <w:bCs w:val="0"/>
          <w:color w:val="auto"/>
          <w:kern w:val="2"/>
          <w:sz w:val="32"/>
          <w:szCs w:val="32"/>
          <w:highlight w:val="none"/>
          <w:lang w:val="en-US" w:eastAsia="zh-CN" w:bidi="ar-SA"/>
        </w:rPr>
        <w:t>家，药店</w:t>
      </w:r>
      <w:r>
        <w:rPr>
          <w:rFonts w:hint="eastAsia" w:ascii="Times New Roman" w:hAnsi="Times New Roman" w:eastAsia="仿宋" w:cs="Times New Roman"/>
          <w:b w:val="0"/>
          <w:bCs w:val="0"/>
          <w:color w:val="auto"/>
          <w:kern w:val="2"/>
          <w:sz w:val="32"/>
          <w:szCs w:val="32"/>
          <w:highlight w:val="none"/>
          <w:lang w:val="en-US" w:eastAsia="zh-CN" w:bidi="ar-SA"/>
        </w:rPr>
        <w:t>410</w:t>
      </w:r>
      <w:r>
        <w:rPr>
          <w:rFonts w:hint="default" w:ascii="Times New Roman" w:hAnsi="Times New Roman" w:eastAsia="仿宋" w:cs="Times New Roman"/>
          <w:b w:val="0"/>
          <w:bCs w:val="0"/>
          <w:color w:val="auto"/>
          <w:kern w:val="2"/>
          <w:sz w:val="32"/>
          <w:szCs w:val="32"/>
          <w:highlight w:val="none"/>
          <w:lang w:val="en-US" w:eastAsia="zh-CN" w:bidi="ar-SA"/>
        </w:rPr>
        <w:t>家，医保医师</w:t>
      </w:r>
      <w:r>
        <w:rPr>
          <w:rFonts w:hint="eastAsia" w:ascii="Times New Roman" w:hAnsi="Times New Roman" w:eastAsia="仿宋" w:cs="Times New Roman"/>
          <w:b w:val="0"/>
          <w:bCs w:val="0"/>
          <w:color w:val="auto"/>
          <w:kern w:val="2"/>
          <w:sz w:val="32"/>
          <w:szCs w:val="32"/>
          <w:highlight w:val="none"/>
          <w:lang w:val="en-US" w:eastAsia="zh-CN" w:bidi="ar-SA"/>
        </w:rPr>
        <w:t>10862</w:t>
      </w:r>
      <w:r>
        <w:rPr>
          <w:rFonts w:hint="default" w:ascii="Times New Roman" w:hAnsi="Times New Roman" w:eastAsia="仿宋" w:cs="Times New Roman"/>
          <w:b w:val="0"/>
          <w:bCs w:val="0"/>
          <w:color w:val="auto"/>
          <w:kern w:val="2"/>
          <w:sz w:val="32"/>
          <w:szCs w:val="32"/>
          <w:highlight w:val="none"/>
          <w:lang w:val="en-US" w:eastAsia="zh-CN" w:bidi="ar-SA"/>
        </w:rPr>
        <w:t>人，门诊慢特病病种</w:t>
      </w:r>
      <w:r>
        <w:rPr>
          <w:rFonts w:hint="eastAsia" w:ascii="Times New Roman" w:hAnsi="Times New Roman" w:eastAsia="仿宋" w:cs="Times New Roman"/>
          <w:b w:val="0"/>
          <w:bCs w:val="0"/>
          <w:color w:val="auto"/>
          <w:kern w:val="2"/>
          <w:sz w:val="32"/>
          <w:szCs w:val="32"/>
          <w:highlight w:val="none"/>
          <w:lang w:val="en-US" w:eastAsia="zh-CN" w:bidi="ar-SA"/>
        </w:rPr>
        <w:t>112</w:t>
      </w:r>
      <w:r>
        <w:rPr>
          <w:rFonts w:hint="default" w:ascii="Times New Roman" w:hAnsi="Times New Roman" w:eastAsia="仿宋" w:cs="Times New Roman"/>
          <w:b w:val="0"/>
          <w:bCs w:val="0"/>
          <w:color w:val="auto"/>
          <w:kern w:val="2"/>
          <w:sz w:val="32"/>
          <w:szCs w:val="32"/>
          <w:highlight w:val="none"/>
          <w:lang w:val="en-US" w:eastAsia="zh-CN" w:bidi="ar-SA"/>
        </w:rPr>
        <w:t>种，按病种结算病种</w:t>
      </w:r>
      <w:r>
        <w:rPr>
          <w:rFonts w:hint="eastAsia" w:ascii="Times New Roman" w:hAnsi="Times New Roman" w:eastAsia="仿宋" w:cs="Times New Roman"/>
          <w:b w:val="0"/>
          <w:bCs w:val="0"/>
          <w:color w:val="auto"/>
          <w:kern w:val="2"/>
          <w:sz w:val="32"/>
          <w:szCs w:val="32"/>
          <w:highlight w:val="none"/>
          <w:lang w:val="en-US" w:eastAsia="zh-CN" w:bidi="ar-SA"/>
        </w:rPr>
        <w:t>29</w:t>
      </w:r>
      <w:r>
        <w:rPr>
          <w:rFonts w:hint="default" w:ascii="Times New Roman" w:hAnsi="Times New Roman" w:eastAsia="仿宋" w:cs="Times New Roman"/>
          <w:b w:val="0"/>
          <w:bCs w:val="0"/>
          <w:color w:val="auto"/>
          <w:kern w:val="2"/>
          <w:sz w:val="32"/>
          <w:szCs w:val="32"/>
          <w:highlight w:val="none"/>
          <w:lang w:val="en-US" w:eastAsia="zh-CN" w:bidi="ar-SA"/>
        </w:rPr>
        <w:t>5种，日间手术病种1种，完成率100%</w:t>
      </w:r>
      <w:r>
        <w:rPr>
          <w:rFonts w:hint="eastAsia" w:ascii="Times New Roman" w:hAnsi="Times New Roman" w:eastAsia="仿宋" w:cs="Times New Roman"/>
          <w:b w:val="0"/>
          <w:bCs w:val="0"/>
          <w:color w:val="auto"/>
          <w:kern w:val="2"/>
          <w:sz w:val="32"/>
          <w:szCs w:val="32"/>
          <w:highlight w:val="none"/>
          <w:lang w:val="en-US" w:eastAsia="zh-CN" w:bidi="ar-SA"/>
        </w:rPr>
        <w:t>。医保电子凭证</w:t>
      </w:r>
      <w:r>
        <w:rPr>
          <w:rFonts w:hint="default" w:ascii="Times New Roman" w:hAnsi="Times New Roman" w:eastAsia="仿宋" w:cs="Times New Roman"/>
          <w:color w:val="auto"/>
          <w:kern w:val="2"/>
          <w:sz w:val="32"/>
          <w:szCs w:val="32"/>
          <w:highlight w:val="none"/>
          <w:lang w:val="en-US" w:eastAsia="zh-CN" w:bidi="ar-SA"/>
        </w:rPr>
        <w:t>激活295.3万人，激活率达50.63%，</w:t>
      </w:r>
      <w:r>
        <w:rPr>
          <w:rFonts w:hint="eastAsia" w:ascii="Times New Roman" w:hAnsi="Times New Roman" w:eastAsia="仿宋" w:cs="Times New Roman"/>
          <w:color w:val="auto"/>
          <w:kern w:val="2"/>
          <w:sz w:val="32"/>
          <w:szCs w:val="32"/>
          <w:highlight w:val="none"/>
          <w:lang w:val="en-US" w:eastAsia="zh-CN" w:bidi="ar-SA"/>
        </w:rPr>
        <w:t>位居全省前列，</w:t>
      </w:r>
      <w:r>
        <w:rPr>
          <w:rFonts w:hint="default" w:ascii="Times New Roman" w:hAnsi="Times New Roman" w:eastAsia="仿宋_GB2312"/>
          <w:color w:val="auto"/>
          <w:sz w:val="32"/>
          <w:szCs w:val="32"/>
          <w:highlight w:val="none"/>
        </w:rPr>
        <w:t>全</w:t>
      </w:r>
      <w:r>
        <w:rPr>
          <w:rFonts w:hint="eastAsia" w:ascii="Times New Roman" w:hAnsi="Times New Roman" w:eastAsia="仿宋_GB2312"/>
          <w:color w:val="auto"/>
          <w:sz w:val="32"/>
          <w:szCs w:val="32"/>
          <w:highlight w:val="none"/>
          <w:lang w:val="en-US" w:eastAsia="zh-CN"/>
        </w:rPr>
        <w:t>市</w:t>
      </w:r>
      <w:r>
        <w:rPr>
          <w:rFonts w:hint="default" w:ascii="Times New Roman" w:hAnsi="Times New Roman" w:eastAsia="仿宋_GB2312"/>
          <w:color w:val="auto"/>
          <w:sz w:val="32"/>
          <w:szCs w:val="32"/>
          <w:highlight w:val="none"/>
        </w:rPr>
        <w:t>医保结算由</w:t>
      </w:r>
      <w:r>
        <w:rPr>
          <w:rFonts w:ascii="Times New Roman" w:hAnsi="Times New Roman" w:eastAsia="仿宋_GB2312"/>
          <w:color w:val="auto"/>
          <w:sz w:val="32"/>
          <w:szCs w:val="32"/>
          <w:highlight w:val="none"/>
        </w:rPr>
        <w:t>“</w:t>
      </w:r>
      <w:r>
        <w:rPr>
          <w:rFonts w:hint="default" w:ascii="Times New Roman" w:hAnsi="Times New Roman" w:eastAsia="仿宋_GB2312"/>
          <w:color w:val="auto"/>
          <w:sz w:val="32"/>
          <w:szCs w:val="32"/>
          <w:highlight w:val="none"/>
        </w:rPr>
        <w:t>卡时代</w:t>
      </w:r>
      <w:r>
        <w:rPr>
          <w:rFonts w:ascii="Times New Roman" w:hAnsi="Times New Roman" w:eastAsia="仿宋_GB2312"/>
          <w:color w:val="auto"/>
          <w:sz w:val="32"/>
          <w:szCs w:val="32"/>
          <w:highlight w:val="none"/>
        </w:rPr>
        <w:t>”</w:t>
      </w:r>
      <w:r>
        <w:rPr>
          <w:rFonts w:hint="default" w:ascii="Times New Roman" w:hAnsi="Times New Roman" w:eastAsia="仿宋_GB2312"/>
          <w:color w:val="auto"/>
          <w:sz w:val="32"/>
          <w:szCs w:val="32"/>
          <w:highlight w:val="none"/>
        </w:rPr>
        <w:t>迈入</w:t>
      </w:r>
      <w:r>
        <w:rPr>
          <w:rFonts w:ascii="Times New Roman" w:hAnsi="Times New Roman" w:eastAsia="仿宋_GB2312"/>
          <w:color w:val="auto"/>
          <w:sz w:val="32"/>
          <w:szCs w:val="32"/>
          <w:highlight w:val="none"/>
        </w:rPr>
        <w:t>“</w:t>
      </w:r>
      <w:r>
        <w:rPr>
          <w:rFonts w:hint="default" w:ascii="Times New Roman" w:hAnsi="Times New Roman" w:eastAsia="仿宋_GB2312"/>
          <w:color w:val="auto"/>
          <w:sz w:val="32"/>
          <w:szCs w:val="32"/>
          <w:highlight w:val="none"/>
        </w:rPr>
        <w:t>码时代</w:t>
      </w:r>
      <w:r>
        <w:rPr>
          <w:rFonts w:ascii="Times New Roman" w:hAnsi="Times New Roman" w:eastAsia="仿宋_GB2312"/>
          <w:color w:val="auto"/>
          <w:sz w:val="32"/>
          <w:szCs w:val="32"/>
          <w:highlight w:val="none"/>
        </w:rPr>
        <w:t>”</w:t>
      </w:r>
      <w:r>
        <w:rPr>
          <w:rFonts w:hint="default"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加强依法行政，落实</w:t>
      </w:r>
      <w:r>
        <w:rPr>
          <w:rFonts w:hint="eastAsia" w:ascii="仿宋" w:hAnsi="仿宋" w:eastAsia="仿宋" w:cs="仿宋"/>
          <w:b w:val="0"/>
          <w:bCs w:val="0"/>
          <w:color w:val="auto"/>
          <w:spacing w:val="0"/>
          <w:sz w:val="32"/>
          <w:szCs w:val="32"/>
          <w:highlight w:val="none"/>
          <w:lang w:eastAsia="zh-CN"/>
        </w:rPr>
        <w:t>行政执法公示制度、执法全过程记录制度</w:t>
      </w:r>
      <w:r>
        <w:rPr>
          <w:rFonts w:hint="eastAsia" w:ascii="仿宋" w:hAnsi="仿宋" w:eastAsia="仿宋" w:cs="仿宋"/>
          <w:b w:val="0"/>
          <w:bCs w:val="0"/>
          <w:color w:val="auto"/>
          <w:spacing w:val="0"/>
          <w:sz w:val="32"/>
          <w:szCs w:val="32"/>
          <w:highlight w:val="none"/>
          <w:lang w:val="en-US" w:eastAsia="zh-CN"/>
        </w:rPr>
        <w:t>和</w:t>
      </w:r>
      <w:r>
        <w:rPr>
          <w:rFonts w:hint="eastAsia" w:ascii="仿宋" w:hAnsi="仿宋" w:eastAsia="仿宋" w:cs="仿宋"/>
          <w:b w:val="0"/>
          <w:bCs w:val="0"/>
          <w:color w:val="auto"/>
          <w:spacing w:val="0"/>
          <w:sz w:val="32"/>
          <w:szCs w:val="32"/>
          <w:highlight w:val="none"/>
          <w:lang w:eastAsia="zh-CN"/>
        </w:rPr>
        <w:t>重大执法决定法制审查制度，</w:t>
      </w:r>
      <w:r>
        <w:rPr>
          <w:rFonts w:hint="eastAsia" w:ascii="Times New Roman" w:hAnsi="Times New Roman" w:eastAsia="仿宋_GB2312"/>
          <w:color w:val="auto"/>
          <w:sz w:val="32"/>
          <w:szCs w:val="32"/>
          <w:highlight w:val="none"/>
          <w:lang w:val="en-US" w:eastAsia="zh-CN"/>
        </w:rPr>
        <w:t>不断规范合法性和公平竞争审查工作，</w:t>
      </w:r>
      <w:r>
        <w:rPr>
          <w:rFonts w:ascii="Times New Roman" w:hAnsi="Times New Roman" w:eastAsia="仿宋_GB2312"/>
          <w:color w:val="auto"/>
          <w:sz w:val="32"/>
          <w:szCs w:val="32"/>
          <w:highlight w:val="none"/>
        </w:rPr>
        <w:t>全</w:t>
      </w:r>
      <w:r>
        <w:rPr>
          <w:rFonts w:hint="eastAsia" w:ascii="Times New Roman" w:hAnsi="Times New Roman" w:eastAsia="仿宋_GB2312"/>
          <w:color w:val="auto"/>
          <w:sz w:val="32"/>
          <w:szCs w:val="32"/>
          <w:highlight w:val="none"/>
          <w:lang w:val="en-US" w:eastAsia="zh-CN"/>
        </w:rPr>
        <w:t>市</w:t>
      </w:r>
      <w:r>
        <w:rPr>
          <w:rFonts w:ascii="Times New Roman" w:hAnsi="Times New Roman" w:eastAsia="仿宋_GB2312"/>
          <w:color w:val="auto"/>
          <w:sz w:val="32"/>
          <w:szCs w:val="32"/>
          <w:highlight w:val="none"/>
        </w:rPr>
        <w:t>医保系统</w:t>
      </w:r>
      <w:r>
        <w:rPr>
          <w:rFonts w:hint="eastAsia" w:ascii="Times New Roman" w:hAnsi="Times New Roman" w:eastAsia="仿宋_GB2312"/>
          <w:color w:val="auto"/>
          <w:sz w:val="32"/>
          <w:szCs w:val="32"/>
          <w:highlight w:val="none"/>
          <w:lang w:val="en-US" w:eastAsia="zh-CN"/>
        </w:rPr>
        <w:t>246</w:t>
      </w:r>
      <w:r>
        <w:rPr>
          <w:rFonts w:ascii="Times New Roman" w:hAnsi="Times New Roman" w:eastAsia="仿宋_GB2312"/>
          <w:color w:val="auto"/>
          <w:sz w:val="32"/>
          <w:szCs w:val="32"/>
          <w:highlight w:val="none"/>
        </w:rPr>
        <w:t>人取得了行政执法资格，</w:t>
      </w:r>
      <w:r>
        <w:rPr>
          <w:rFonts w:hint="default" w:ascii="Times New Roman" w:hAnsi="Times New Roman" w:eastAsia="仿宋_GB2312"/>
          <w:color w:val="auto"/>
          <w:sz w:val="32"/>
          <w:szCs w:val="32"/>
          <w:highlight w:val="none"/>
        </w:rPr>
        <w:t>医保法治基础持续夯实。</w:t>
      </w:r>
      <w:r>
        <w:rPr>
          <w:rFonts w:hint="eastAsia" w:ascii="Times New Roman" w:hAnsi="Times New Roman" w:eastAsia="仿宋_GB2312"/>
          <w:color w:val="auto"/>
          <w:sz w:val="32"/>
          <w:szCs w:val="32"/>
          <w:highlight w:val="none"/>
          <w:lang w:val="en-US" w:eastAsia="zh-CN"/>
        </w:rPr>
        <w:t>规范基金风险处置，</w:t>
      </w:r>
      <w:r>
        <w:rPr>
          <w:rFonts w:ascii="Times New Roman" w:hAnsi="Times New Roman" w:eastAsia="仿宋_GB2312"/>
          <w:color w:val="auto"/>
          <w:sz w:val="32"/>
          <w:szCs w:val="32"/>
          <w:highlight w:val="none"/>
        </w:rPr>
        <w:t>基金预算和绩效管理持续加强</w:t>
      </w:r>
      <w:r>
        <w:rPr>
          <w:rFonts w:hint="default"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医保公共服务规范化、标准化、信息化、一体化扎实推进。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经办服务不断优化。</w:t>
      </w:r>
      <w:r>
        <w:rPr>
          <w:rFonts w:hint="default" w:ascii="Times New Roman" w:hAnsi="Times New Roman" w:eastAsia="仿宋_GB2312" w:cs="Times New Roman"/>
          <w:b w:val="0"/>
          <w:color w:val="auto"/>
          <w:sz w:val="32"/>
          <w:szCs w:val="32"/>
          <w:highlight w:val="none"/>
          <w:lang w:val="en-US" w:eastAsia="zh-CN"/>
        </w:rPr>
        <w:t>在全市医保系统开展“行风建设提升年”活动，推行“一次”“三声”“六多”服务标准和“班前十分钟”、</w:t>
      </w:r>
      <w:r>
        <w:rPr>
          <w:rFonts w:hint="default" w:ascii="Times New Roman" w:hAnsi="Times New Roman" w:eastAsia="仿宋_GB2312" w:cs="Times New Roman"/>
          <w:bCs w:val="0"/>
          <w:color w:val="auto"/>
          <w:sz w:val="32"/>
          <w:szCs w:val="32"/>
          <w:highlight w:val="none"/>
          <w:shd w:val="clear"/>
        </w:rPr>
        <w:t>“好差评”</w:t>
      </w:r>
      <w:r>
        <w:rPr>
          <w:rFonts w:hint="default" w:ascii="Times New Roman" w:hAnsi="Times New Roman" w:eastAsia="仿宋_GB2312" w:cs="Times New Roman"/>
          <w:bCs w:val="0"/>
          <w:color w:val="auto"/>
          <w:sz w:val="32"/>
          <w:szCs w:val="32"/>
          <w:highlight w:val="none"/>
          <w:shd w:val="clear"/>
          <w:lang w:val="en-US" w:eastAsia="zh-CN"/>
        </w:rPr>
        <w:t>等</w:t>
      </w:r>
      <w:r>
        <w:rPr>
          <w:rFonts w:hint="default" w:ascii="Times New Roman" w:hAnsi="Times New Roman" w:eastAsia="仿宋_GB2312" w:cs="Times New Roman"/>
          <w:b w:val="0"/>
          <w:color w:val="auto"/>
          <w:sz w:val="32"/>
          <w:szCs w:val="32"/>
          <w:highlight w:val="none"/>
          <w:lang w:val="en-US" w:eastAsia="zh-CN"/>
        </w:rPr>
        <w:t>制度，开展24小时“不打烊”医保服务热线，打造“暖心医保”服务品牌。推行“宿州医保便民e站”网上经办系统，医保服务事项“一网通办”。完善“市、县、乡、村”四级医疗保障服务体系，全市114个乡镇（街道）全部设立医保办，设立了33家行政村（社区）医保工作站，配备了212名专兼职医保管理员，“零距离”服务基层百姓。扎实推进异地就医结算，在全省率先实现与长三角地区门诊和住院直接刷卡结算，开通了职工医保个人账户省内定点药店异地联网结算。</w:t>
      </w:r>
    </w:p>
    <w:p>
      <w:pPr>
        <w:widowControl/>
        <w:numPr>
          <w:ilvl w:val="0"/>
          <w:numId w:val="0"/>
        </w:numPr>
        <w:adjustRightInd w:val="0"/>
        <w:ind w:firstLine="643"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eastAsia" w:ascii="Times New Roman" w:hAnsi="Times New Roman" w:eastAsia="仿宋" w:cs="Times New Roman"/>
          <w:b/>
          <w:bCs/>
          <w:color w:val="auto"/>
          <w:kern w:val="2"/>
          <w:sz w:val="32"/>
          <w:szCs w:val="32"/>
          <w:highlight w:val="none"/>
          <w:lang w:val="en-US" w:eastAsia="zh-CN" w:bidi="ar-SA"/>
        </w:rPr>
        <w:t>——基金监管成效凸显。</w:t>
      </w:r>
      <w:r>
        <w:rPr>
          <w:rFonts w:hint="eastAsia" w:ascii="Times New Roman" w:hAnsi="Times New Roman" w:eastAsia="仿宋" w:cs="Times New Roman"/>
          <w:color w:val="auto"/>
          <w:kern w:val="2"/>
          <w:sz w:val="32"/>
          <w:szCs w:val="32"/>
          <w:highlight w:val="none"/>
          <w:lang w:val="en-US" w:eastAsia="zh-CN" w:bidi="ar-SA"/>
        </w:rPr>
        <w:t>强化医保基金安全组织领导，成立市维护医保基金安全领导小组，</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综合运用</w:t>
      </w:r>
      <w:r>
        <w:rPr>
          <w:rFonts w:hint="default" w:ascii="Times New Roman" w:hAnsi="Times New Roman" w:eastAsia="仿宋_GB2312" w:cs="Times New Roman"/>
          <w:i w:val="0"/>
          <w:caps w:val="0"/>
          <w:color w:val="auto"/>
          <w:spacing w:val="0"/>
          <w:sz w:val="32"/>
          <w:szCs w:val="32"/>
          <w:highlight w:val="none"/>
          <w:shd w:val="clear" w:color="auto" w:fill="FFFFFF"/>
        </w:rPr>
        <w:t>行政监管</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协议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管理、智能监控、网格化监管、社会监督、信用管理、第三方评估等手段，进一步强化联合监管，压实主体责任，健全监督检查制度，推进综合治理</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r>
        <w:rPr>
          <w:rFonts w:hint="eastAsia" w:ascii="Times New Roman" w:hAnsi="Times New Roman" w:eastAsia="仿宋" w:cs="Times New Roman"/>
          <w:color w:val="auto"/>
          <w:kern w:val="2"/>
          <w:sz w:val="32"/>
          <w:szCs w:val="32"/>
          <w:highlight w:val="none"/>
          <w:lang w:val="en-US" w:eastAsia="zh-CN" w:bidi="ar-SA"/>
        </w:rPr>
        <w:t>与江苏省徐州市医疗保障局探索建立跨省异地就医基金监管协同联查机制。</w:t>
      </w:r>
      <w:r>
        <w:rPr>
          <w:rFonts w:hint="eastAsia" w:ascii="Times New Roman" w:hAnsi="Times New Roman" w:eastAsia="仿宋_GB2312" w:cs="Times New Roman"/>
          <w:color w:val="auto"/>
          <w:kern w:val="2"/>
          <w:sz w:val="32"/>
          <w:szCs w:val="32"/>
          <w:highlight w:val="none"/>
          <w:lang w:val="en-US" w:eastAsia="zh-CN" w:bidi="ar-SA"/>
        </w:rPr>
        <w:t>2019年以来全市医保局系统组织了飞行检查、交叉互查、突击夜查等多次专项行动，做到全市定点医药机构现场检查和随机抽查两个全覆盖，</w:t>
      </w:r>
      <w:r>
        <w:rPr>
          <w:rFonts w:hint="eastAsia" w:ascii="Times New Roman" w:hAnsi="Times New Roman" w:eastAsia="仿宋" w:cs="Times New Roman"/>
          <w:color w:val="auto"/>
          <w:kern w:val="2"/>
          <w:sz w:val="32"/>
          <w:szCs w:val="32"/>
          <w:highlight w:val="none"/>
          <w:lang w:val="en-US" w:eastAsia="zh-CN" w:bidi="ar-SA"/>
        </w:rPr>
        <w:t>共追回医保基金总额17688.94万元。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cs="仿宋"/>
          <w:bCs/>
          <w:color w:val="auto"/>
          <w:sz w:val="32"/>
          <w:szCs w:val="32"/>
          <w:highlight w:val="green"/>
          <w:shd w:val="clear" w:color="auto" w:fill="FFFFFF"/>
          <w:lang w:val="en-US" w:eastAsia="zh-CN"/>
        </w:rPr>
      </w:pPr>
      <w:r>
        <w:rPr>
          <w:rFonts w:hint="eastAsia" w:ascii="仿宋" w:hAnsi="仿宋" w:eastAsia="仿宋" w:cs="仿宋"/>
          <w:b/>
          <w:bCs w:val="0"/>
          <w:color w:val="auto"/>
          <w:kern w:val="2"/>
          <w:sz w:val="32"/>
          <w:szCs w:val="32"/>
          <w:highlight w:val="none"/>
          <w:shd w:val="clear" w:color="auto" w:fill="FFFFFF"/>
          <w:lang w:val="en-US" w:eastAsia="zh-CN" w:bidi="ar-SA"/>
        </w:rPr>
        <w:t>——决战决胜医保脱贫攻坚。</w:t>
      </w:r>
      <w:r>
        <w:rPr>
          <w:rFonts w:hint="default" w:ascii="仿宋" w:hAnsi="仿宋" w:eastAsia="仿宋" w:cs="仿宋"/>
          <w:b w:val="0"/>
          <w:bCs/>
          <w:color w:val="auto"/>
          <w:kern w:val="2"/>
          <w:sz w:val="32"/>
          <w:szCs w:val="32"/>
          <w:highlight w:val="none"/>
          <w:shd w:val="clear" w:color="auto" w:fill="FFFFFF"/>
          <w:lang w:val="en-US" w:eastAsia="zh-CN" w:bidi="ar-SA"/>
        </w:rPr>
        <w:t>“十三五”以来,</w:t>
      </w:r>
      <w:r>
        <w:rPr>
          <w:rFonts w:hint="eastAsia" w:ascii="仿宋" w:hAnsi="仿宋" w:eastAsia="仿宋" w:cs="仿宋"/>
          <w:bCs/>
          <w:color w:val="auto"/>
          <w:kern w:val="2"/>
          <w:sz w:val="32"/>
          <w:szCs w:val="32"/>
          <w:highlight w:val="none"/>
          <w:shd w:val="clear" w:color="auto" w:fill="FFFFFF"/>
          <w:lang w:val="en-US" w:eastAsia="zh-CN" w:bidi="ar-SA"/>
        </w:rPr>
        <w:t>宿州市</w:t>
      </w:r>
      <w:r>
        <w:rPr>
          <w:rFonts w:hint="default" w:ascii="仿宋" w:hAnsi="仿宋" w:eastAsia="仿宋" w:cs="仿宋"/>
          <w:bCs/>
          <w:color w:val="auto"/>
          <w:kern w:val="2"/>
          <w:sz w:val="32"/>
          <w:szCs w:val="32"/>
          <w:highlight w:val="none"/>
          <w:shd w:val="clear" w:color="auto" w:fill="FFFFFF"/>
          <w:lang w:val="en-US" w:eastAsia="zh-CN" w:bidi="ar-SA"/>
        </w:rPr>
        <w:t>累计资助148.34万贫困人口（含动态调出）参加基本医疗保险，资助参保缴费支出32356.23万元，贫困人口参保率始终稳定维持在99.9%以上</w:t>
      </w:r>
      <w:r>
        <w:rPr>
          <w:rFonts w:hint="eastAsia" w:ascii="仿宋" w:hAnsi="仿宋" w:eastAsia="仿宋" w:cs="仿宋"/>
          <w:bCs/>
          <w:color w:val="auto"/>
          <w:kern w:val="2"/>
          <w:sz w:val="32"/>
          <w:szCs w:val="32"/>
          <w:highlight w:val="none"/>
          <w:shd w:val="clear" w:color="auto" w:fill="FFFFFF"/>
          <w:lang w:val="en-US" w:eastAsia="zh-CN" w:bidi="ar-SA"/>
        </w:rPr>
        <w:t>,</w:t>
      </w:r>
      <w:r>
        <w:rPr>
          <w:rFonts w:hint="default" w:ascii="仿宋" w:hAnsi="仿宋" w:eastAsia="仿宋" w:cs="仿宋"/>
          <w:bCs/>
          <w:color w:val="auto"/>
          <w:kern w:val="2"/>
          <w:sz w:val="32"/>
          <w:szCs w:val="32"/>
          <w:highlight w:val="none"/>
          <w:shd w:val="clear" w:color="auto" w:fill="FFFFFF"/>
          <w:lang w:val="en-US" w:eastAsia="zh-CN" w:bidi="ar-SA"/>
        </w:rPr>
        <w:t>“351”兜底资金累计支出30969.61万元，慢性病“180”补充保障资金支出</w:t>
      </w:r>
      <w:r>
        <w:rPr>
          <w:rFonts w:hint="default" w:ascii="仿宋" w:hAnsi="仿宋" w:eastAsia="仿宋" w:cs="仿宋"/>
          <w:bCs/>
          <w:color w:val="auto"/>
          <w:kern w:val="2"/>
          <w:sz w:val="32"/>
          <w:szCs w:val="32"/>
          <w:shd w:val="clear" w:color="auto" w:fill="FFFFFF"/>
          <w:lang w:val="en-US" w:eastAsia="zh-CN" w:bidi="ar-SA"/>
        </w:rPr>
        <w:t>34586.4万元，贫困人口政策综合医保报销比例稳定在90%左右，贫困</w:t>
      </w:r>
      <w:r>
        <w:rPr>
          <w:rFonts w:hint="default" w:ascii="仿宋" w:hAnsi="仿宋" w:eastAsia="仿宋" w:cs="仿宋"/>
          <w:bCs/>
          <w:color w:val="auto"/>
          <w:sz w:val="32"/>
          <w:szCs w:val="32"/>
          <w:shd w:val="clear" w:color="auto" w:fill="FFFFFF"/>
          <w:lang w:val="en-US" w:eastAsia="zh-CN"/>
        </w:rPr>
        <w:t>人口医疗支出</w:t>
      </w:r>
      <w:r>
        <w:rPr>
          <w:rFonts w:hint="eastAsia" w:ascii="仿宋" w:hAnsi="仿宋" w:eastAsia="仿宋" w:cs="仿宋"/>
          <w:bCs/>
          <w:color w:val="auto"/>
          <w:sz w:val="32"/>
          <w:szCs w:val="32"/>
          <w:shd w:val="clear" w:color="auto" w:fill="FFFFFF"/>
          <w:lang w:val="en-US" w:eastAsia="zh-CN"/>
        </w:rPr>
        <w:t>大幅降低。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 w:cs="Times New Roman"/>
          <w:color w:val="auto"/>
          <w:kern w:val="2"/>
          <w:sz w:val="32"/>
          <w:szCs w:val="32"/>
          <w:lang w:val="en-US" w:eastAsia="zh-CN" w:bidi="ar-SA"/>
        </w:rPr>
      </w:pPr>
      <w:r>
        <w:rPr>
          <w:rFonts w:hint="eastAsia" w:ascii="仿宋" w:hAnsi="仿宋" w:eastAsia="仿宋" w:cs="仿宋"/>
          <w:b/>
          <w:bCs w:val="0"/>
          <w:color w:val="auto"/>
          <w:sz w:val="32"/>
          <w:szCs w:val="32"/>
          <w:shd w:val="clear" w:color="auto" w:fill="FFFFFF"/>
          <w:lang w:val="en-US" w:eastAsia="zh-CN"/>
        </w:rPr>
        <w:t>——区域协同发展不断推进。</w:t>
      </w:r>
      <w:r>
        <w:rPr>
          <w:rFonts w:hint="eastAsia" w:ascii="仿宋" w:hAnsi="仿宋" w:eastAsia="仿宋" w:cs="仿宋"/>
          <w:bCs/>
          <w:color w:val="auto"/>
          <w:sz w:val="32"/>
          <w:szCs w:val="32"/>
          <w:shd w:val="clear" w:color="auto" w:fill="FFFFFF"/>
          <w:lang w:val="en-US" w:eastAsia="zh-CN"/>
        </w:rPr>
        <w:t>推进长三角地区跨省异地就医门诊医疗费用直接结算试点，实现全</w:t>
      </w:r>
      <w:r>
        <w:rPr>
          <w:rFonts w:hint="eastAsia" w:ascii="仿宋" w:hAnsi="仿宋" w:eastAsia="仿宋" w:cs="仿宋"/>
          <w:color w:val="auto"/>
          <w:kern w:val="2"/>
          <w:sz w:val="32"/>
          <w:szCs w:val="32"/>
          <w:lang w:val="en-US" w:eastAsia="zh-CN" w:bidi="ar-SA"/>
        </w:rPr>
        <w:t>市城镇职工基本医保在长三角异地普通门诊就医费用直接结算，实现全市城镇职工基本医保省内异地普通门诊和慢性病门诊就</w:t>
      </w:r>
      <w:r>
        <w:rPr>
          <w:rFonts w:hint="default" w:ascii="Times New Roman" w:hAnsi="Times New Roman" w:eastAsia="仿宋" w:cs="Times New Roman"/>
          <w:color w:val="auto"/>
          <w:kern w:val="2"/>
          <w:sz w:val="32"/>
          <w:szCs w:val="32"/>
          <w:lang w:val="en-US" w:eastAsia="zh-CN" w:bidi="ar-SA"/>
        </w:rPr>
        <w:t>医费用直接结算，异地安置退休人员、异地长期居住人员等纳入异地就医门诊结算范围。</w:t>
      </w:r>
      <w:r>
        <w:rPr>
          <w:rFonts w:hint="eastAsia" w:ascii="Times New Roman" w:hAnsi="Times New Roman" w:eastAsia="仿宋" w:cs="Times New Roman"/>
          <w:color w:val="auto"/>
          <w:kern w:val="2"/>
          <w:sz w:val="32"/>
          <w:szCs w:val="32"/>
          <w:lang w:val="en-US" w:eastAsia="zh-CN" w:bidi="ar-SA"/>
        </w:rPr>
        <w:t>我市</w:t>
      </w:r>
      <w:r>
        <w:rPr>
          <w:rFonts w:hint="default" w:ascii="Times New Roman" w:hAnsi="Times New Roman" w:eastAsia="仿宋" w:cs="Times New Roman"/>
          <w:color w:val="auto"/>
          <w:kern w:val="2"/>
          <w:sz w:val="32"/>
          <w:szCs w:val="32"/>
          <w:lang w:val="en-US" w:eastAsia="zh-CN" w:bidi="ar-SA"/>
        </w:rPr>
        <w:t>与长三角41个城市实现医保“一卡通”，与沪苏浙6750家定点医院实现职工普通门诊异地就医直接结算</w:t>
      </w:r>
      <w:r>
        <w:rPr>
          <w:rFonts w:hint="eastAsia" w:ascii="Times New Roman" w:hAnsi="Times New Roman" w:eastAsia="仿宋" w:cs="Times New Roman"/>
          <w:color w:val="auto"/>
          <w:kern w:val="2"/>
          <w:sz w:val="32"/>
          <w:szCs w:val="32"/>
          <w:lang w:val="en-US" w:eastAsia="zh-CN" w:bidi="ar-SA"/>
        </w:rPr>
        <w:t>。</w:t>
      </w:r>
    </w:p>
    <w:p>
      <w:pPr>
        <w:numPr>
          <w:ilvl w:val="0"/>
          <w:numId w:val="0"/>
        </w:numPr>
        <w:ind w:firstLine="643" w:firstLineChars="200"/>
        <w:jc w:val="left"/>
        <w:rPr>
          <w:rFonts w:hint="default" w:ascii="Times New Roman" w:hAnsi="Times New Roman" w:eastAsia="仿宋" w:cs="Times New Roman"/>
          <w:color w:val="auto"/>
          <w:kern w:val="2"/>
          <w:sz w:val="32"/>
          <w:szCs w:val="32"/>
          <w:highlight w:val="green"/>
          <w:lang w:val="en-US" w:eastAsia="zh-CN" w:bidi="ar-SA"/>
        </w:rPr>
      </w:pPr>
      <w:r>
        <w:rPr>
          <w:rFonts w:hint="eastAsia" w:ascii="仿宋" w:hAnsi="仿宋" w:eastAsia="仿宋" w:cs="仿宋"/>
          <w:b/>
          <w:bCs/>
          <w:color w:val="auto"/>
          <w:kern w:val="2"/>
          <w:sz w:val="32"/>
          <w:szCs w:val="32"/>
          <w:lang w:val="en-US" w:eastAsia="zh-CN" w:bidi="ar-SA"/>
        </w:rPr>
        <w:t>——疫情应对措施有力</w:t>
      </w:r>
      <w:r>
        <w:rPr>
          <w:rFonts w:hint="eastAsia" w:ascii="方正仿宋_GBK" w:hAnsi="方正仿宋_GBK" w:eastAsia="方正仿宋_GBK" w:cs="方正仿宋_GBK"/>
          <w:color w:val="auto"/>
          <w:sz w:val="32"/>
          <w:szCs w:val="32"/>
          <w:lang w:val="en-US" w:eastAsia="zh-CN"/>
        </w:rPr>
        <w:t>。</w:t>
      </w:r>
      <w:r>
        <w:rPr>
          <w:rFonts w:hint="eastAsia" w:ascii="华文仿宋" w:hAnsi="华文仿宋" w:eastAsia="华文仿宋" w:cs="华文仿宋"/>
          <w:color w:val="auto"/>
          <w:kern w:val="2"/>
          <w:sz w:val="32"/>
          <w:szCs w:val="32"/>
          <w:lang w:val="en-US" w:eastAsia="zh-CN" w:bidi="ar-SA"/>
        </w:rPr>
        <w:t>积</w:t>
      </w:r>
      <w:r>
        <w:rPr>
          <w:rFonts w:hint="eastAsia" w:ascii="仿宋" w:hAnsi="仿宋" w:eastAsia="仿宋" w:cs="仿宋"/>
          <w:color w:val="auto"/>
          <w:kern w:val="2"/>
          <w:sz w:val="32"/>
          <w:szCs w:val="32"/>
          <w:lang w:val="en-US" w:eastAsia="zh-CN" w:bidi="ar-SA"/>
        </w:rPr>
        <w:t>极应对新冠肺炎疫情，按照确保患者不因费用问题影响就医、确保收治医院不因支付政策影响救治的“两个确保”工作要求，在全省率先出台疫情防控期间特殊报销政策，率先将“两个确保”政策保障范围从确诊病例扩大到疑似病例，进一步完善了宿州市重大疫情综合医疗保障应急预案。</w:t>
      </w:r>
      <w:r>
        <w:rPr>
          <w:rFonts w:hint="eastAsia" w:ascii="Times New Roman" w:hAnsi="Times New Roman" w:eastAsia="仿宋" w:cs="Times New Roman"/>
          <w:color w:val="auto"/>
          <w:kern w:val="2"/>
          <w:sz w:val="32"/>
          <w:szCs w:val="32"/>
          <w:lang w:val="en-US" w:eastAsia="zh-CN" w:bidi="ar-SA"/>
        </w:rPr>
        <w:t>疫情期间</w:t>
      </w:r>
      <w:r>
        <w:rPr>
          <w:rFonts w:hint="eastAsia" w:ascii="仿宋" w:hAnsi="仿宋" w:eastAsia="仿宋" w:cs="仿宋"/>
          <w:color w:val="auto"/>
          <w:kern w:val="2"/>
          <w:sz w:val="32"/>
          <w:szCs w:val="32"/>
          <w:lang w:val="en-US" w:eastAsia="zh-CN" w:bidi="ar-SA"/>
        </w:rPr>
        <w:t>及时</w:t>
      </w:r>
      <w:r>
        <w:rPr>
          <w:rFonts w:hint="default" w:ascii="Times New Roman" w:hAnsi="Times New Roman" w:eastAsia="仿宋" w:cs="Times New Roman"/>
          <w:color w:val="auto"/>
          <w:kern w:val="2"/>
          <w:sz w:val="32"/>
          <w:szCs w:val="32"/>
          <w:lang w:val="en-US" w:eastAsia="zh-CN" w:bidi="ar-SA"/>
        </w:rPr>
        <w:t>拨付医保基金</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lang w:val="en-US" w:eastAsia="zh-CN" w:bidi="ar-SA"/>
        </w:rPr>
        <w:t>向定点救治医院提前拨</w:t>
      </w:r>
      <w:r>
        <w:rPr>
          <w:rFonts w:hint="default" w:ascii="仿宋" w:hAnsi="仿宋" w:eastAsia="仿宋" w:cs="仿宋"/>
          <w:color w:val="auto"/>
          <w:kern w:val="2"/>
          <w:sz w:val="32"/>
          <w:szCs w:val="32"/>
          <w:lang w:val="en-US" w:eastAsia="zh-CN" w:bidi="ar-SA"/>
        </w:rPr>
        <w:t>付医保基金4000万元</w:t>
      </w:r>
      <w:r>
        <w:rPr>
          <w:rFonts w:hint="default" w:ascii="Times New Roman" w:hAnsi="Times New Roman" w:eastAsia="仿宋" w:cs="Times New Roman"/>
          <w:color w:val="auto"/>
          <w:kern w:val="2"/>
          <w:sz w:val="32"/>
          <w:szCs w:val="32"/>
          <w:lang w:val="en-US" w:eastAsia="zh-CN" w:bidi="ar-SA"/>
        </w:rPr>
        <w:t>。</w:t>
      </w:r>
      <w:r>
        <w:rPr>
          <w:rFonts w:hint="eastAsia" w:ascii="Times New Roman" w:hAnsi="Times New Roman" w:eastAsia="仿宋" w:cs="Times New Roman"/>
          <w:color w:val="auto"/>
          <w:kern w:val="2"/>
          <w:sz w:val="32"/>
          <w:szCs w:val="32"/>
          <w:lang w:val="en-US" w:eastAsia="zh-CN" w:bidi="ar-SA"/>
        </w:rPr>
        <w:t>助力企业复工复产，</w:t>
      </w:r>
      <w:r>
        <w:rPr>
          <w:rFonts w:hint="default" w:ascii="Times New Roman" w:hAnsi="Times New Roman" w:eastAsia="仿宋" w:cs="Times New Roman"/>
          <w:color w:val="auto"/>
          <w:kern w:val="2"/>
          <w:sz w:val="32"/>
          <w:szCs w:val="32"/>
          <w:lang w:val="en-US" w:eastAsia="zh-CN" w:bidi="ar-SA"/>
        </w:rPr>
        <w:t>出台阶段性减征职工基本医疗保险费政策，截至2020年6月全市共减征5404.9万元</w:t>
      </w:r>
      <w:r>
        <w:rPr>
          <w:rFonts w:hint="eastAsia" w:ascii="Times New Roman" w:hAnsi="Times New Roman" w:eastAsia="仿宋" w:cs="Times New Roman"/>
          <w:color w:val="auto"/>
          <w:kern w:val="2"/>
          <w:sz w:val="32"/>
          <w:szCs w:val="32"/>
          <w:lang w:val="en-US" w:eastAsia="zh-CN" w:bidi="ar-SA"/>
        </w:rPr>
        <w:t>，有效缓解企业经营困难</w:t>
      </w:r>
      <w:r>
        <w:rPr>
          <w:rFonts w:hint="default" w:ascii="Times New Roman" w:hAnsi="Times New Roman" w:eastAsia="仿宋" w:cs="Times New Roman"/>
          <w:color w:val="auto"/>
          <w:kern w:val="2"/>
          <w:sz w:val="32"/>
          <w:szCs w:val="32"/>
          <w:lang w:val="en-US" w:eastAsia="zh-CN" w:bidi="ar-SA"/>
        </w:rPr>
        <w:t>。</w:t>
      </w:r>
    </w:p>
    <w:p>
      <w:pPr>
        <w:pStyle w:val="5"/>
        <w:ind w:left="0" w:leftChars="0" w:firstLine="643" w:firstLineChars="200"/>
        <w:jc w:val="left"/>
        <w:outlineLvl w:val="1"/>
        <w:rPr>
          <w:rFonts w:hint="eastAsia" w:ascii="方正楷体_GBK" w:hAnsi="方正楷体_GBK" w:eastAsia="方正楷体_GBK" w:cs="方正楷体_GBK"/>
          <w:b/>
          <w:color w:val="auto"/>
          <w:kern w:val="0"/>
          <w:sz w:val="32"/>
          <w:szCs w:val="32"/>
          <w:lang w:val="en-US" w:eastAsia="zh-CN" w:bidi="ar-SA"/>
        </w:rPr>
      </w:pPr>
      <w:bookmarkStart w:id="2" w:name="_Toc8646"/>
      <w:bookmarkStart w:id="3" w:name="_Toc3873"/>
      <w:bookmarkStart w:id="4" w:name="_Toc550"/>
      <w:bookmarkStart w:id="5" w:name="_Toc10493"/>
      <w:r>
        <w:rPr>
          <w:rFonts w:hint="eastAsia" w:ascii="方正楷体_GBK" w:hAnsi="方正楷体_GBK" w:eastAsia="方正楷体_GBK" w:cs="方正楷体_GBK"/>
          <w:b/>
          <w:color w:val="auto"/>
          <w:kern w:val="0"/>
          <w:sz w:val="32"/>
          <w:szCs w:val="32"/>
          <w:lang w:val="en-US" w:eastAsia="zh-CN" w:bidi="ar-SA"/>
        </w:rPr>
        <w:t>（二）机遇与挑战</w:t>
      </w:r>
      <w:bookmarkEnd w:id="2"/>
      <w:bookmarkEnd w:id="3"/>
      <w:bookmarkEnd w:id="4"/>
      <w:bookmarkEnd w:id="5"/>
    </w:p>
    <w:p>
      <w:pPr>
        <w:pStyle w:val="14"/>
        <w:keepNext w:val="0"/>
        <w:keepLines w:val="0"/>
        <w:pageBreakBefore w:val="0"/>
        <w:widowControl w:val="0"/>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eastAsia="仿宋_GB2312" w:cs="Times New Roman"/>
          <w:color w:val="auto"/>
          <w:kern w:val="2"/>
          <w:sz w:val="32"/>
          <w:szCs w:val="32"/>
          <w:lang w:val="en-US" w:eastAsia="zh-CN" w:bidi="ar-SA"/>
        </w:rPr>
        <w:t>十四五时期，</w:t>
      </w:r>
      <w:r>
        <w:rPr>
          <w:rFonts w:hint="eastAsia" w:ascii="Times New Roman" w:hAnsi="Times New Roman" w:eastAsia="仿宋_GB2312" w:cs="Times New Roman"/>
          <w:color w:val="auto"/>
          <w:kern w:val="2"/>
          <w:sz w:val="32"/>
          <w:szCs w:val="32"/>
          <w:lang w:val="en-US" w:eastAsia="zh-CN" w:bidi="ar-SA"/>
        </w:rPr>
        <w:t>宿州市正迎来前所未有的发展机遇</w:t>
      </w:r>
      <w:r>
        <w:rPr>
          <w:rFonts w:hint="eastAsia" w:asci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长三角一体化发展国家战略加速转化为发展新动能，一体化、高质量和便利共享等方面成为医疗保障事业发展新方向，中部崛起、淮河生态经济带、皖北承接产业转移集聚区等多项重大战略聚焦宿州，省际交汇区位优势和承东启西战略地位赋能宿州，不断提升对外开放水平和区域合作发展层次，进一步激发</w:t>
      </w:r>
      <w:r>
        <w:rPr>
          <w:rFonts w:hint="eastAsia" w:ascii="Times New Roman" w:eastAsia="仿宋_GB2312" w:cs="Times New Roman"/>
          <w:color w:val="auto"/>
          <w:kern w:val="2"/>
          <w:sz w:val="32"/>
          <w:szCs w:val="32"/>
          <w:lang w:val="en-US" w:eastAsia="zh-CN" w:bidi="ar-SA"/>
        </w:rPr>
        <w:t>经济活力</w:t>
      </w:r>
      <w:r>
        <w:rPr>
          <w:rFonts w:hint="eastAsia" w:ascii="Times New Roman" w:hAnsi="Times New Roman" w:eastAsia="仿宋_GB2312" w:cs="Times New Roman"/>
          <w:color w:val="auto"/>
          <w:kern w:val="2"/>
          <w:sz w:val="32"/>
          <w:szCs w:val="32"/>
          <w:lang w:val="en-US" w:eastAsia="zh-CN" w:bidi="ar-SA"/>
        </w:rPr>
        <w:t>，医疗保障可持续</w:t>
      </w:r>
      <w:r>
        <w:rPr>
          <w:rFonts w:hint="eastAsia" w:ascii="Times New Roman" w:eastAsia="仿宋_GB2312" w:cs="Times New Roman"/>
          <w:color w:val="auto"/>
          <w:kern w:val="2"/>
          <w:sz w:val="32"/>
          <w:szCs w:val="32"/>
          <w:lang w:val="en-US" w:eastAsia="zh-CN" w:bidi="ar-SA"/>
        </w:rPr>
        <w:t>发展</w:t>
      </w:r>
      <w:r>
        <w:rPr>
          <w:rFonts w:hint="eastAsia" w:ascii="Times New Roman" w:hAnsi="Times New Roman" w:eastAsia="仿宋_GB2312" w:cs="Times New Roman"/>
          <w:color w:val="auto"/>
          <w:kern w:val="2"/>
          <w:sz w:val="32"/>
          <w:szCs w:val="32"/>
          <w:lang w:val="en-US" w:eastAsia="zh-CN" w:bidi="ar-SA"/>
        </w:rPr>
        <w:t>将更有保障。</w:t>
      </w:r>
    </w:p>
    <w:p>
      <w:pPr>
        <w:numPr>
          <w:ilvl w:val="-1"/>
          <w:numId w:val="0"/>
        </w:numPr>
        <w:adjustRightInd w:val="0"/>
        <w:ind w:firstLine="640" w:firstLineChars="200"/>
        <w:rPr>
          <w:rFonts w:hint="default" w:ascii="仿宋" w:hAnsi="仿宋" w:eastAsia="仿宋" w:cs="仿宋"/>
          <w:b/>
          <w:bCs/>
          <w:color w:val="auto"/>
          <w:kern w:val="2"/>
          <w:sz w:val="32"/>
          <w:szCs w:val="32"/>
          <w:highlight w:val="green"/>
          <w:lang w:val="en-US" w:eastAsia="zh-CN" w:bidi="ar-SA"/>
        </w:rPr>
      </w:pPr>
      <w:r>
        <w:rPr>
          <w:rFonts w:hint="eastAsia" w:ascii="Times New Roman" w:hAnsi="Times New Roman" w:eastAsia="仿宋_GB2312" w:cs="Times New Roman"/>
          <w:color w:val="auto"/>
          <w:sz w:val="32"/>
          <w:szCs w:val="32"/>
        </w:rPr>
        <w:t>同时，“十四五”时期我</w:t>
      </w:r>
      <w:r>
        <w:rPr>
          <w:rFonts w:hint="eastAsia" w:ascii="Times New Roman" w:hAnsi="Times New Roman" w:eastAsia="仿宋_GB2312" w:cs="Times New Roman"/>
          <w:color w:val="auto"/>
          <w:sz w:val="32"/>
          <w:szCs w:val="32"/>
          <w:lang w:val="en-US" w:eastAsia="zh-CN"/>
        </w:rPr>
        <w:t>市</w:t>
      </w:r>
      <w:r>
        <w:rPr>
          <w:rFonts w:hint="eastAsia" w:ascii="Times New Roman" w:hAnsi="Times New Roman" w:eastAsia="仿宋_GB2312" w:cs="Times New Roman"/>
          <w:color w:val="auto"/>
          <w:sz w:val="32"/>
          <w:szCs w:val="32"/>
        </w:rPr>
        <w:t>医疗保障事业发展仍面临诸多挑战。</w:t>
      </w:r>
      <w:r>
        <w:rPr>
          <w:rFonts w:hint="eastAsia" w:ascii="Times New Roman" w:hAnsi="Times New Roman" w:eastAsia="仿宋_GB2312" w:cs="Times New Roman"/>
          <w:color w:val="auto"/>
          <w:kern w:val="2"/>
          <w:sz w:val="32"/>
          <w:szCs w:val="32"/>
          <w:lang w:val="en-US" w:eastAsia="zh-CN" w:bidi="ar-SA"/>
        </w:rPr>
        <w:t>多层次医疗保障制度体系尚不健全，商业医疗保险较为单一，弱势群体医疗保障仍显不足，保障功能仍有短板。受新冠疫情影响，疫苗和接种费用占医保基金支付比重较大，化解突发性医疗支出风险能力有待提高。</w:t>
      </w:r>
      <w:r>
        <w:rPr>
          <w:rFonts w:hint="eastAsia" w:ascii="Times New Roman" w:hAnsi="Times New Roman" w:eastAsia="仿宋_GB2312"/>
          <w:color w:val="auto"/>
          <w:sz w:val="32"/>
          <w:szCs w:val="32"/>
        </w:rPr>
        <w:t>医保法制体系和基金监管体制有待完善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欺诈骗保等问题仍然易发多发</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医疗保障服务支撑体系尚不健全，信息化、标准化、规范化管理服务能力仍有待提升。</w:t>
      </w:r>
      <w:r>
        <w:rPr>
          <w:rFonts w:hint="eastAsia" w:ascii="Times New Roman" w:hAnsi="Times New Roman" w:eastAsia="仿宋_GB2312"/>
          <w:color w:val="auto"/>
          <w:sz w:val="32"/>
          <w:szCs w:val="32"/>
          <w:lang w:val="en-US" w:eastAsia="zh-CN"/>
        </w:rPr>
        <w:t>省外</w:t>
      </w:r>
      <w:r>
        <w:rPr>
          <w:rFonts w:hint="eastAsia" w:ascii="Times New Roman" w:hAnsi="Times New Roman" w:eastAsia="仿宋_GB2312" w:cs="Times New Roman"/>
          <w:color w:val="auto"/>
          <w:kern w:val="2"/>
          <w:sz w:val="32"/>
          <w:szCs w:val="32"/>
          <w:lang w:val="en-US" w:eastAsia="zh-CN" w:bidi="ar-SA"/>
        </w:rPr>
        <w:t>异地就医监管形势严峻。</w:t>
      </w:r>
      <w:r>
        <w:rPr>
          <w:rFonts w:hint="eastAsia" w:ascii="Times New Roman" w:hAnsi="Times New Roman" w:eastAsia="仿宋_GB2312"/>
          <w:color w:val="auto"/>
          <w:sz w:val="32"/>
          <w:szCs w:val="32"/>
          <w:lang w:val="en-US" w:eastAsia="zh-CN"/>
        </w:rPr>
        <w:t>全</w:t>
      </w:r>
      <w:r>
        <w:rPr>
          <w:rFonts w:hint="eastAsia" w:ascii="Times New Roman" w:hAnsi="Times New Roman" w:eastAsia="仿宋_GB2312" w:cs="Times New Roman"/>
          <w:color w:val="auto"/>
          <w:kern w:val="2"/>
          <w:sz w:val="32"/>
          <w:szCs w:val="32"/>
          <w:lang w:val="en-US" w:eastAsia="zh-CN" w:bidi="ar-SA"/>
        </w:rPr>
        <w:t>市面临人口流动和人口老龄化双重挑战，</w:t>
      </w:r>
      <w:r>
        <w:rPr>
          <w:rFonts w:hint="eastAsia" w:ascii="Times New Roman" w:hAnsi="Times New Roman" w:eastAsia="仿宋_GB2312"/>
          <w:color w:val="auto"/>
          <w:sz w:val="32"/>
          <w:szCs w:val="32"/>
        </w:rPr>
        <w:t>基金收支平衡和可持续运行压力将持续增大。</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outlineLvl w:val="0"/>
        <w:rPr>
          <w:rFonts w:hint="default" w:ascii="方正黑体_GBK" w:hAnsi="方正黑体_GBK" w:eastAsia="方正黑体_GBK" w:cs="方正黑体_GBK"/>
          <w:b w:val="0"/>
          <w:bCs/>
          <w:color w:val="auto"/>
          <w:kern w:val="44"/>
          <w:sz w:val="32"/>
          <w:szCs w:val="32"/>
          <w:lang w:val="en-US" w:eastAsia="zh-CN" w:bidi="ar-SA"/>
        </w:rPr>
      </w:pPr>
      <w:bookmarkStart w:id="6" w:name="_Toc19764"/>
      <w:bookmarkStart w:id="7" w:name="_Toc18528"/>
      <w:r>
        <w:rPr>
          <w:rFonts w:hint="eastAsia" w:ascii="方正黑体_GBK" w:hAnsi="方正黑体_GBK" w:eastAsia="方正黑体_GBK" w:cs="方正黑体_GBK"/>
          <w:b w:val="0"/>
          <w:bCs/>
          <w:color w:val="auto"/>
          <w:kern w:val="44"/>
          <w:sz w:val="32"/>
          <w:szCs w:val="32"/>
          <w:lang w:val="en-US" w:eastAsia="zh-CN" w:bidi="ar-SA"/>
        </w:rPr>
        <w:t>二、</w:t>
      </w:r>
      <w:bookmarkEnd w:id="6"/>
      <w:r>
        <w:rPr>
          <w:rFonts w:hint="eastAsia" w:ascii="方正黑体_GBK" w:hAnsi="方正黑体_GBK" w:eastAsia="方正黑体_GBK" w:cs="方正黑体_GBK"/>
          <w:b w:val="0"/>
          <w:bCs/>
          <w:color w:val="auto"/>
          <w:kern w:val="44"/>
          <w:sz w:val="32"/>
          <w:szCs w:val="32"/>
          <w:lang w:val="en-US" w:eastAsia="zh-CN" w:bidi="ar-SA"/>
        </w:rPr>
        <w:t>总体要求</w:t>
      </w:r>
      <w:bookmarkEnd w:id="7"/>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3" w:firstLineChars="200"/>
        <w:jc w:val="left"/>
        <w:textAlignment w:val="auto"/>
        <w:outlineLvl w:val="1"/>
        <w:rPr>
          <w:rFonts w:hint="eastAsia" w:ascii="仿宋" w:hAnsi="仿宋" w:eastAsia="仿宋" w:cs="仿宋"/>
          <w:b/>
          <w:bCs/>
          <w:color w:val="auto"/>
          <w:kern w:val="2"/>
          <w:sz w:val="32"/>
          <w:szCs w:val="32"/>
          <w:lang w:eastAsia="zh-CN"/>
        </w:rPr>
      </w:pPr>
      <w:bookmarkStart w:id="8" w:name="_Toc31086"/>
      <w:bookmarkStart w:id="9" w:name="_Toc25578"/>
      <w:r>
        <w:rPr>
          <w:rFonts w:hint="eastAsia" w:ascii="方正楷体_GBK" w:hAnsi="方正楷体_GBK" w:eastAsia="方正楷体_GBK" w:cs="方正楷体_GBK"/>
          <w:b/>
          <w:color w:val="auto"/>
          <w:kern w:val="0"/>
          <w:sz w:val="32"/>
          <w:szCs w:val="32"/>
          <w:lang w:val="en-US" w:eastAsia="zh-CN" w:bidi="ar-SA"/>
        </w:rPr>
        <w:t>（一）指导思想</w:t>
      </w:r>
      <w:bookmarkEnd w:id="8"/>
      <w:bookmarkEnd w:id="9"/>
    </w:p>
    <w:p>
      <w:pPr>
        <w:pStyle w:val="14"/>
        <w:snapToGrid w:val="0"/>
        <w:spacing w:line="360" w:lineRule="auto"/>
        <w:ind w:firstLine="640" w:firstLineChars="200"/>
        <w:jc w:val="both"/>
        <w:rPr>
          <w:rFonts w:hint="eastAsia" w:ascii="楷体" w:hAnsi="楷体" w:eastAsia="楷体"/>
          <w:b/>
          <w:color w:val="auto"/>
          <w:sz w:val="32"/>
          <w:szCs w:val="32"/>
          <w:lang w:eastAsia="zh-CN"/>
        </w:rPr>
      </w:pPr>
      <w:r>
        <w:rPr>
          <w:rFonts w:hint="eastAsia" w:ascii="仿宋" w:hAnsi="仿宋" w:eastAsia="仿宋" w:cs="仿宋"/>
          <w:color w:val="auto"/>
          <w:kern w:val="2"/>
          <w:sz w:val="32"/>
          <w:szCs w:val="32"/>
        </w:rPr>
        <w:t>以习近平新时代中国特色社会主义思想为指导，全面贯彻党的十九大和十九届二中、三中、四中</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lang w:val="en-US" w:eastAsia="zh-CN"/>
        </w:rPr>
        <w:t>五中、六中</w:t>
      </w:r>
      <w:r>
        <w:rPr>
          <w:rFonts w:hint="eastAsia" w:ascii="仿宋" w:hAnsi="仿宋" w:eastAsia="仿宋" w:cs="仿宋"/>
          <w:color w:val="auto"/>
          <w:kern w:val="2"/>
          <w:sz w:val="32"/>
          <w:szCs w:val="32"/>
        </w:rPr>
        <w:t>全会精神以及习近平总书记视察安徽和在扎实推进长三角一体化发展座谈会上的重要讲话精神，坚决落实党中央、国务院深化医疗保障制度改革的决策部署，坚持以人民健康为中心，以深化医疗保障制度改革和推进医疗保障基金监管制度改革为抓手，认真落实上级医疗保障发展规划和</w:t>
      </w:r>
      <w:r>
        <w:rPr>
          <w:rFonts w:hint="eastAsia" w:ascii="仿宋" w:hAnsi="仿宋" w:eastAsia="仿宋" w:cs="仿宋"/>
          <w:color w:val="auto"/>
          <w:kern w:val="2"/>
          <w:sz w:val="32"/>
          <w:szCs w:val="32"/>
          <w:lang w:val="en-US" w:eastAsia="zh-CN"/>
        </w:rPr>
        <w:t>宿州</w:t>
      </w:r>
      <w:r>
        <w:rPr>
          <w:rFonts w:hint="eastAsia" w:ascii="仿宋" w:hAnsi="仿宋" w:eastAsia="仿宋" w:cs="仿宋"/>
          <w:color w:val="auto"/>
          <w:kern w:val="2"/>
          <w:sz w:val="32"/>
          <w:szCs w:val="32"/>
        </w:rPr>
        <w:t>市国民经济社会发展规划</w:t>
      </w:r>
      <w:r>
        <w:rPr>
          <w:rFonts w:hint="eastAsia" w:ascii="仿宋" w:hAnsi="仿宋" w:eastAsia="仿宋" w:cs="仿宋"/>
          <w:color w:val="auto"/>
          <w:kern w:val="2"/>
          <w:sz w:val="32"/>
          <w:szCs w:val="32"/>
          <w:lang w:val="en-US" w:eastAsia="zh-CN"/>
        </w:rPr>
        <w:t>纲要</w:t>
      </w:r>
      <w:r>
        <w:rPr>
          <w:rFonts w:hint="eastAsia" w:ascii="仿宋" w:hAnsi="仿宋" w:eastAsia="仿宋" w:cs="仿宋"/>
          <w:color w:val="auto"/>
          <w:kern w:val="2"/>
          <w:sz w:val="32"/>
          <w:szCs w:val="32"/>
        </w:rPr>
        <w:t>要求，加快</w:t>
      </w:r>
      <w:r>
        <w:rPr>
          <w:rFonts w:hint="eastAsia" w:ascii="仿宋" w:hAnsi="仿宋" w:eastAsia="仿宋" w:cs="仿宋"/>
          <w:color w:val="auto"/>
          <w:kern w:val="2"/>
          <w:sz w:val="32"/>
          <w:szCs w:val="32"/>
          <w:lang w:val="en-US" w:eastAsia="zh-CN"/>
        </w:rPr>
        <w:t>健全</w:t>
      </w:r>
      <w:r>
        <w:rPr>
          <w:rFonts w:hint="eastAsia" w:ascii="仿宋" w:hAnsi="仿宋" w:eastAsia="仿宋" w:cs="仿宋"/>
          <w:color w:val="auto"/>
          <w:kern w:val="2"/>
          <w:sz w:val="32"/>
          <w:szCs w:val="32"/>
        </w:rPr>
        <w:t>覆盖全民、</w:t>
      </w:r>
      <w:r>
        <w:rPr>
          <w:rFonts w:hint="eastAsia" w:ascii="仿宋" w:hAnsi="仿宋" w:eastAsia="仿宋" w:cs="仿宋"/>
          <w:color w:val="auto"/>
          <w:kern w:val="2"/>
          <w:sz w:val="32"/>
          <w:szCs w:val="32"/>
          <w:lang w:val="en-US" w:eastAsia="zh-CN"/>
        </w:rPr>
        <w:t>统筹城乡</w:t>
      </w:r>
      <w:r>
        <w:rPr>
          <w:rFonts w:hint="eastAsia" w:ascii="仿宋" w:hAnsi="仿宋" w:eastAsia="仿宋" w:cs="仿宋"/>
          <w:color w:val="auto"/>
          <w:kern w:val="2"/>
          <w:sz w:val="32"/>
          <w:szCs w:val="32"/>
        </w:rPr>
        <w:t>、权责清晰、保障适度可持续的多层次医疗保障体系，为全面建设</w:t>
      </w:r>
      <w:r>
        <w:rPr>
          <w:rFonts w:hint="eastAsia" w:ascii="仿宋" w:hAnsi="仿宋" w:eastAsia="仿宋" w:cs="仿宋"/>
          <w:color w:val="auto"/>
          <w:kern w:val="2"/>
          <w:sz w:val="32"/>
          <w:szCs w:val="32"/>
          <w:highlight w:val="none"/>
          <w:lang w:val="en-US" w:eastAsia="zh-CN"/>
        </w:rPr>
        <w:t>新阶段现代化美好宿州</w:t>
      </w:r>
      <w:r>
        <w:rPr>
          <w:rFonts w:hint="eastAsia" w:ascii="仿宋" w:hAnsi="仿宋" w:eastAsia="仿宋" w:cs="仿宋"/>
          <w:color w:val="auto"/>
          <w:kern w:val="2"/>
          <w:sz w:val="32"/>
          <w:szCs w:val="32"/>
        </w:rPr>
        <w:t>提供有力的医疗保障。</w:t>
      </w:r>
      <w:bookmarkStart w:id="10" w:name="_Toc25691"/>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3" w:firstLineChars="200"/>
        <w:jc w:val="left"/>
        <w:textAlignment w:val="auto"/>
        <w:outlineLvl w:val="1"/>
        <w:rPr>
          <w:rFonts w:hint="eastAsia" w:ascii="方正楷体_GBK" w:hAnsi="方正楷体_GBK" w:eastAsia="方正楷体_GBK" w:cs="方正楷体_GBK"/>
          <w:b/>
          <w:color w:val="auto"/>
          <w:kern w:val="0"/>
          <w:sz w:val="32"/>
          <w:szCs w:val="32"/>
          <w:lang w:val="en-US" w:eastAsia="zh-CN" w:bidi="ar-SA"/>
        </w:rPr>
      </w:pPr>
      <w:bookmarkStart w:id="11" w:name="_Toc9944"/>
      <w:r>
        <w:rPr>
          <w:rFonts w:hint="eastAsia" w:ascii="方正楷体_GBK" w:hAnsi="方正楷体_GBK" w:eastAsia="方正楷体_GBK" w:cs="方正楷体_GBK"/>
          <w:b/>
          <w:color w:val="auto"/>
          <w:kern w:val="0"/>
          <w:sz w:val="32"/>
          <w:szCs w:val="32"/>
          <w:lang w:val="en-US" w:eastAsia="zh-CN" w:bidi="ar-SA"/>
        </w:rPr>
        <w:t>（二）基本原则</w:t>
      </w:r>
      <w:bookmarkEnd w:id="10"/>
      <w:bookmarkEnd w:id="11"/>
    </w:p>
    <w:p>
      <w:pPr>
        <w:spacing w:line="600" w:lineRule="exact"/>
        <w:ind w:firstLine="640" w:firstLineChars="200"/>
        <w:rPr>
          <w:rFonts w:ascii="仿宋" w:hAnsi="仿宋" w:eastAsia="仿宋" w:cs="仿宋"/>
          <w:color w:val="auto"/>
          <w:sz w:val="32"/>
          <w:szCs w:val="32"/>
        </w:rPr>
      </w:pPr>
      <w:r>
        <w:rPr>
          <w:rFonts w:hint="eastAsia" w:ascii="楷体" w:hAnsi="楷体" w:eastAsia="楷体" w:cs="楷体"/>
          <w:color w:val="auto"/>
          <w:kern w:val="0"/>
          <w:sz w:val="32"/>
          <w:szCs w:val="32"/>
          <w:shd w:val="clear" w:color="auto" w:fill="FFFFFF"/>
          <w:lang w:eastAsia="zh-CN" w:bidi="ar"/>
        </w:rPr>
        <w:t>——</w:t>
      </w:r>
      <w:r>
        <w:rPr>
          <w:rFonts w:hint="eastAsia" w:ascii="楷体" w:hAnsi="楷体" w:eastAsia="楷体" w:cs="楷体"/>
          <w:color w:val="auto"/>
          <w:kern w:val="0"/>
          <w:sz w:val="32"/>
          <w:szCs w:val="32"/>
          <w:shd w:val="clear" w:color="auto" w:fill="FFFFFF"/>
          <w:lang w:bidi="ar"/>
        </w:rPr>
        <w:t>坚持党的全面领导。</w:t>
      </w:r>
      <w:r>
        <w:rPr>
          <w:rFonts w:hint="eastAsia" w:ascii="仿宋" w:hAnsi="仿宋" w:eastAsia="仿宋" w:cs="仿宋"/>
          <w:color w:val="auto"/>
          <w:sz w:val="32"/>
          <w:szCs w:val="32"/>
        </w:rPr>
        <w:t>始终坚持党对医疗保障工作的领导，发展和完善中国特色医疗保障制度，牢牢把握新发展阶段的要求，坚决贯彻落实新发展理念，助力构建新发展格局，为医疗保障制度成熟定型提供根本保证。</w:t>
      </w:r>
    </w:p>
    <w:p>
      <w:pPr>
        <w:spacing w:line="600" w:lineRule="exact"/>
        <w:ind w:firstLine="640" w:firstLineChars="200"/>
        <w:rPr>
          <w:rFonts w:ascii="仿宋" w:hAnsi="仿宋" w:eastAsia="仿宋" w:cs="仿宋"/>
          <w:color w:val="auto"/>
          <w:sz w:val="32"/>
          <w:szCs w:val="32"/>
        </w:rPr>
      </w:pPr>
      <w:r>
        <w:rPr>
          <w:rFonts w:hint="eastAsia" w:ascii="楷体" w:hAnsi="楷体" w:eastAsia="楷体" w:cs="楷体"/>
          <w:color w:val="auto"/>
          <w:kern w:val="0"/>
          <w:sz w:val="32"/>
          <w:szCs w:val="32"/>
          <w:shd w:val="clear" w:color="auto" w:fill="FFFFFF"/>
          <w:lang w:eastAsia="zh-CN" w:bidi="ar"/>
        </w:rPr>
        <w:t>——</w:t>
      </w:r>
      <w:r>
        <w:rPr>
          <w:rFonts w:hint="eastAsia" w:ascii="楷体" w:hAnsi="楷体" w:eastAsia="楷体" w:cs="楷体"/>
          <w:color w:val="auto"/>
          <w:kern w:val="0"/>
          <w:sz w:val="32"/>
          <w:szCs w:val="32"/>
          <w:shd w:val="clear" w:color="auto" w:fill="FFFFFF"/>
          <w:lang w:bidi="ar"/>
        </w:rPr>
        <w:t>坚持以人民健康为中心。</w:t>
      </w:r>
      <w:r>
        <w:rPr>
          <w:rFonts w:hint="eastAsia" w:ascii="仿宋" w:hAnsi="仿宋" w:eastAsia="仿宋" w:cs="仿宋"/>
          <w:color w:val="auto"/>
          <w:sz w:val="32"/>
          <w:szCs w:val="32"/>
        </w:rPr>
        <w:t>把保障人民健康放在优先发展的战略位置，把维护人民生命安全和身体健康放在首位，深入实施健康中国行动，实施更加系统、更加高效、更高质量的医疗保障，实现好、维护好、发展好最广大人民的健康权益。</w:t>
      </w:r>
    </w:p>
    <w:p>
      <w:pPr>
        <w:spacing w:line="600" w:lineRule="exact"/>
        <w:ind w:firstLine="640" w:firstLineChars="200"/>
        <w:rPr>
          <w:rFonts w:ascii="仿宋" w:hAnsi="仿宋" w:eastAsia="仿宋" w:cs="仿宋"/>
          <w:color w:val="auto"/>
          <w:sz w:val="32"/>
          <w:szCs w:val="32"/>
        </w:rPr>
      </w:pPr>
      <w:r>
        <w:rPr>
          <w:rFonts w:hint="eastAsia" w:ascii="楷体" w:hAnsi="楷体" w:eastAsia="楷体" w:cs="楷体"/>
          <w:color w:val="auto"/>
          <w:kern w:val="0"/>
          <w:sz w:val="32"/>
          <w:szCs w:val="32"/>
          <w:shd w:val="clear" w:color="auto" w:fill="FFFFFF"/>
          <w:lang w:eastAsia="zh-CN" w:bidi="ar"/>
        </w:rPr>
        <w:t>——</w:t>
      </w:r>
      <w:r>
        <w:rPr>
          <w:rFonts w:hint="eastAsia" w:ascii="楷体" w:hAnsi="楷体" w:eastAsia="楷体" w:cs="楷体"/>
          <w:color w:val="auto"/>
          <w:kern w:val="0"/>
          <w:sz w:val="32"/>
          <w:szCs w:val="32"/>
          <w:shd w:val="clear" w:color="auto" w:fill="FFFFFF"/>
          <w:lang w:bidi="ar"/>
        </w:rPr>
        <w:t>坚持保障基本、更可持续。</w:t>
      </w:r>
      <w:r>
        <w:rPr>
          <w:rFonts w:hint="eastAsia" w:ascii="仿宋" w:hAnsi="仿宋" w:eastAsia="仿宋" w:cs="仿宋"/>
          <w:color w:val="auto"/>
          <w:sz w:val="32"/>
          <w:szCs w:val="32"/>
        </w:rPr>
        <w:t>坚持尽力而为、量力而行，实事求是确定待遇保障范围和标准，防止保障不足和过度保障，提高基本医保基金共济能力，防范化解基金运行风险，确保制度可持续、基金可支撑。</w:t>
      </w:r>
    </w:p>
    <w:p>
      <w:pPr>
        <w:spacing w:line="600" w:lineRule="exact"/>
        <w:ind w:firstLine="640" w:firstLineChars="200"/>
        <w:rPr>
          <w:rFonts w:ascii="仿宋" w:hAnsi="仿宋" w:eastAsia="仿宋" w:cs="仿宋"/>
          <w:color w:val="auto"/>
          <w:sz w:val="32"/>
          <w:szCs w:val="32"/>
        </w:rPr>
      </w:pPr>
      <w:r>
        <w:rPr>
          <w:rFonts w:hint="eastAsia" w:ascii="楷体" w:hAnsi="楷体" w:eastAsia="楷体" w:cs="楷体"/>
          <w:color w:val="auto"/>
          <w:kern w:val="0"/>
          <w:sz w:val="32"/>
          <w:szCs w:val="32"/>
          <w:shd w:val="clear" w:color="auto" w:fill="FFFFFF"/>
          <w:lang w:eastAsia="zh-CN" w:bidi="ar"/>
        </w:rPr>
        <w:t>——</w:t>
      </w:r>
      <w:r>
        <w:rPr>
          <w:rFonts w:hint="eastAsia" w:ascii="楷体" w:hAnsi="楷体" w:eastAsia="楷体" w:cs="楷体"/>
          <w:color w:val="auto"/>
          <w:kern w:val="0"/>
          <w:sz w:val="32"/>
          <w:szCs w:val="32"/>
          <w:shd w:val="clear" w:color="auto" w:fill="FFFFFF"/>
          <w:lang w:bidi="ar"/>
        </w:rPr>
        <w:t>坚持</w:t>
      </w:r>
      <w:r>
        <w:rPr>
          <w:rFonts w:hint="eastAsia" w:ascii="楷体" w:hAnsi="楷体" w:eastAsia="楷体" w:cs="楷体"/>
          <w:color w:val="auto"/>
          <w:kern w:val="0"/>
          <w:sz w:val="32"/>
          <w:szCs w:val="32"/>
          <w:shd w:val="clear" w:color="auto" w:fill="FFFFFF"/>
          <w:lang w:val="en-US" w:eastAsia="zh-CN" w:bidi="ar"/>
        </w:rPr>
        <w:t>共享共治</w:t>
      </w:r>
      <w:r>
        <w:rPr>
          <w:rFonts w:hint="eastAsia" w:ascii="楷体" w:hAnsi="楷体" w:eastAsia="楷体" w:cs="楷体"/>
          <w:color w:val="auto"/>
          <w:kern w:val="0"/>
          <w:sz w:val="32"/>
          <w:szCs w:val="32"/>
          <w:shd w:val="clear" w:color="auto" w:fill="FFFFFF"/>
          <w:lang w:bidi="ar"/>
        </w:rPr>
        <w:t>、协同高效。</w:t>
      </w:r>
      <w:r>
        <w:rPr>
          <w:rFonts w:hint="eastAsia" w:ascii="仿宋" w:hAnsi="仿宋" w:eastAsia="仿宋" w:cs="仿宋"/>
          <w:color w:val="auto"/>
          <w:sz w:val="32"/>
          <w:szCs w:val="32"/>
        </w:rPr>
        <w:t>坚持系统观念，政府、市场、社会协同发力，鼓励商业医疗保险发展，促进多层次医疗保障有序衔接，促进供给侧改革与需求侧管理动态平衡，发挥医保战略购买作用，强化医保、医疗、医药多主体协商共治，加强社会监督，提高治理水平。</w:t>
      </w:r>
    </w:p>
    <w:p>
      <w:pPr>
        <w:spacing w:line="600" w:lineRule="exact"/>
        <w:ind w:firstLine="640" w:firstLineChars="200"/>
        <w:rPr>
          <w:rFonts w:hint="eastAsia"/>
          <w:color w:val="auto"/>
        </w:rPr>
      </w:pPr>
      <w:r>
        <w:rPr>
          <w:rFonts w:hint="eastAsia" w:ascii="楷体" w:hAnsi="楷体" w:eastAsia="楷体" w:cs="楷体"/>
          <w:color w:val="auto"/>
          <w:kern w:val="0"/>
          <w:sz w:val="32"/>
          <w:szCs w:val="32"/>
          <w:shd w:val="clear" w:color="auto" w:fill="FFFFFF"/>
          <w:lang w:eastAsia="zh-CN" w:bidi="ar"/>
        </w:rPr>
        <w:t>——</w:t>
      </w:r>
      <w:r>
        <w:rPr>
          <w:rFonts w:hint="eastAsia" w:ascii="楷体" w:hAnsi="楷体" w:eastAsia="楷体" w:cs="楷体"/>
          <w:color w:val="auto"/>
          <w:kern w:val="0"/>
          <w:sz w:val="32"/>
          <w:szCs w:val="32"/>
          <w:shd w:val="clear" w:color="auto" w:fill="FFFFFF"/>
          <w:lang w:bidi="ar"/>
        </w:rPr>
        <w:t>坚持精细管理、优质服务。</w:t>
      </w:r>
      <w:r>
        <w:rPr>
          <w:rFonts w:hint="eastAsia" w:ascii="仿宋" w:hAnsi="仿宋" w:eastAsia="仿宋" w:cs="仿宋"/>
          <w:color w:val="auto"/>
          <w:sz w:val="32"/>
          <w:szCs w:val="32"/>
        </w:rPr>
        <w:t>强化医药机构定点管理和医保机构经办管理，实施更有效率的医保支付，健全监管体制机制，统筹提升传统服务方式和线上服务方式，促进医疗保障可持续健康发展，提升群众获得感。</w:t>
      </w:r>
    </w:p>
    <w:p>
      <w:pPr>
        <w:pStyle w:val="2"/>
        <w:rPr>
          <w:color w:val="auto"/>
        </w:rPr>
      </w:pP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3" w:firstLineChars="200"/>
        <w:jc w:val="left"/>
        <w:textAlignment w:val="auto"/>
        <w:outlineLvl w:val="1"/>
        <w:rPr>
          <w:rFonts w:hint="eastAsia" w:ascii="方正楷体_GBK" w:hAnsi="方正楷体_GBK" w:eastAsia="方正楷体_GBK" w:cs="方正楷体_GBK"/>
          <w:b/>
          <w:color w:val="auto"/>
          <w:kern w:val="0"/>
          <w:sz w:val="32"/>
          <w:szCs w:val="32"/>
          <w:lang w:val="en-US" w:eastAsia="zh-CN" w:bidi="ar-SA"/>
        </w:rPr>
      </w:pPr>
      <w:bookmarkStart w:id="12" w:name="_Toc12541"/>
      <w:bookmarkStart w:id="13" w:name="_Toc6154"/>
      <w:r>
        <w:rPr>
          <w:rFonts w:hint="eastAsia" w:ascii="方正楷体_GBK" w:hAnsi="方正楷体_GBK" w:eastAsia="方正楷体_GBK" w:cs="方正楷体_GBK"/>
          <w:b/>
          <w:color w:val="auto"/>
          <w:kern w:val="0"/>
          <w:sz w:val="32"/>
          <w:szCs w:val="32"/>
          <w:lang w:val="en-US" w:eastAsia="zh-CN" w:bidi="ar-SA"/>
        </w:rPr>
        <w:t>（三）发展目标</w:t>
      </w:r>
      <w:bookmarkEnd w:id="12"/>
      <w:bookmarkEnd w:id="13"/>
    </w:p>
    <w:p>
      <w:pPr>
        <w:pStyle w:val="14"/>
        <w:snapToGrid w:val="0"/>
        <w:spacing w:line="360" w:lineRule="auto"/>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综合考虑宿州市经济社会发展趋势和医疗保障发展条件，坚持以人民为中心的发展思想，以高质量发展为主题，以奋力解除全体人民的疾病医疗后顾之忧为目标，到2025年，</w:t>
      </w:r>
      <w:r>
        <w:rPr>
          <w:rFonts w:hint="eastAsia" w:ascii="仿宋" w:hAnsi="仿宋" w:eastAsia="仿宋" w:cs="仿宋"/>
          <w:color w:val="auto"/>
          <w:kern w:val="2"/>
          <w:sz w:val="32"/>
          <w:szCs w:val="32"/>
        </w:rPr>
        <w:t>努力建设公平医保、法治医保、安全医保、智慧医保、协同医保，</w:t>
      </w:r>
      <w:bookmarkStart w:id="14" w:name="_Toc20005"/>
      <w:r>
        <w:rPr>
          <w:rFonts w:hint="eastAsia" w:ascii="仿宋" w:hAnsi="仿宋" w:eastAsia="仿宋" w:cs="仿宋"/>
          <w:i w:val="0"/>
          <w:iCs w:val="0"/>
          <w:caps w:val="0"/>
          <w:color w:val="auto"/>
          <w:spacing w:val="0"/>
          <w:kern w:val="2"/>
          <w:sz w:val="32"/>
          <w:szCs w:val="32"/>
          <w:shd w:val="clear"/>
        </w:rPr>
        <w:t>基本完成待遇保障、筹资运行、医保支付、基金监管等重要机制和医药服务供给、医保管理服务等关键领域的改革任务，医疗保障政策规范化、管理精细化、服务便捷化、改革协同化程度明显提升。</w:t>
      </w:r>
    </w:p>
    <w:p>
      <w:pPr>
        <w:pStyle w:val="14"/>
        <w:snapToGrid w:val="0"/>
        <w:spacing w:line="360" w:lineRule="auto"/>
        <w:ind w:firstLine="640" w:firstLineChars="200"/>
        <w:jc w:val="both"/>
        <w:rPr>
          <w:rFonts w:hint="eastAsia" w:ascii="仿宋" w:hAnsi="仿宋" w:eastAsia="仿宋" w:cs="仿宋"/>
          <w:color w:val="auto"/>
          <w:kern w:val="2"/>
          <w:sz w:val="32"/>
          <w:szCs w:val="32"/>
        </w:rPr>
      </w:pPr>
    </w:p>
    <w:bookmarkEnd w:id="14"/>
    <w:tbl>
      <w:tblPr>
        <w:tblStyle w:val="9"/>
        <w:tblW w:w="950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379"/>
        <w:gridCol w:w="3927"/>
        <w:gridCol w:w="1048"/>
        <w:gridCol w:w="1913"/>
        <w:gridCol w:w="1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9503" w:type="dxa"/>
            <w:gridSpan w:val="5"/>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kern w:val="0"/>
                <w:sz w:val="23"/>
                <w:szCs w:val="23"/>
                <w:lang w:bidi="ar"/>
              </w:rPr>
            </w:pPr>
            <w:r>
              <w:rPr>
                <w:rFonts w:ascii="方正黑体_GBK" w:hAnsi="方正黑体_GBK" w:eastAsia="方正黑体_GBK" w:cs="方正黑体_GBK"/>
                <w:color w:val="auto"/>
                <w:kern w:val="0"/>
                <w:sz w:val="30"/>
                <w:szCs w:val="30"/>
                <w:lang w:bidi="ar"/>
              </w:rPr>
              <w:t>专栏</w:t>
            </w:r>
            <w:r>
              <w:rPr>
                <w:rFonts w:hint="default" w:ascii="Times New Roman" w:hAnsi="Times New Roman" w:eastAsia="方正黑体_GBK"/>
                <w:color w:val="auto"/>
                <w:kern w:val="0"/>
                <w:sz w:val="30"/>
                <w:szCs w:val="30"/>
                <w:lang w:bidi="ar"/>
              </w:rPr>
              <w:t>1</w:t>
            </w:r>
            <w:r>
              <w:rPr>
                <w:rFonts w:ascii="方正黑体_GBK" w:hAnsi="方正黑体_GBK" w:eastAsia="方正黑体_GBK" w:cs="方正黑体_GBK"/>
                <w:color w:val="auto"/>
                <w:kern w:val="0"/>
                <w:sz w:val="30"/>
                <w:szCs w:val="30"/>
                <w:lang w:bidi="ar"/>
              </w:rPr>
              <w:t xml:space="preserve">  </w:t>
            </w:r>
            <w:r>
              <w:rPr>
                <w:rFonts w:hint="eastAsia" w:ascii="方正黑体_GBK" w:hAnsi="方正黑体_GBK" w:eastAsia="方正黑体_GBK" w:cs="方正黑体_GBK"/>
                <w:color w:val="auto"/>
                <w:kern w:val="0"/>
                <w:sz w:val="30"/>
                <w:szCs w:val="30"/>
                <w:lang w:val="en-US" w:eastAsia="zh-CN" w:bidi="ar"/>
              </w:rPr>
              <w:t>宿州市</w:t>
            </w:r>
            <w:r>
              <w:rPr>
                <w:rFonts w:ascii="方正黑体_GBK" w:hAnsi="方正黑体_GBK" w:eastAsia="方正黑体_GBK" w:cs="方正黑体_GBK"/>
                <w:color w:val="auto"/>
                <w:kern w:val="0"/>
                <w:sz w:val="30"/>
                <w:szCs w:val="30"/>
                <w:lang w:bidi="ar"/>
              </w:rPr>
              <w:t>“十四五”医疗保障事业发展规划主要指标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b/>
                <w:bCs/>
                <w:color w:val="auto"/>
                <w:sz w:val="23"/>
                <w:szCs w:val="23"/>
              </w:rPr>
            </w:pPr>
            <w:r>
              <w:rPr>
                <w:rFonts w:ascii="宋体" w:hAnsi="宋体" w:cs="宋体"/>
                <w:b/>
                <w:bCs/>
                <w:color w:val="auto"/>
                <w:kern w:val="0"/>
                <w:sz w:val="23"/>
                <w:szCs w:val="23"/>
                <w:lang w:bidi="ar"/>
              </w:rPr>
              <w:t>类别</w:t>
            </w:r>
          </w:p>
        </w:tc>
        <w:tc>
          <w:tcPr>
            <w:tcW w:w="3927"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b/>
                <w:bCs/>
                <w:color w:val="auto"/>
                <w:sz w:val="23"/>
                <w:szCs w:val="23"/>
              </w:rPr>
            </w:pPr>
            <w:r>
              <w:rPr>
                <w:rFonts w:ascii="宋体" w:hAnsi="宋体" w:cs="宋体"/>
                <w:b/>
                <w:bCs/>
                <w:color w:val="auto"/>
                <w:kern w:val="0"/>
                <w:sz w:val="23"/>
                <w:szCs w:val="23"/>
                <w:lang w:bidi="ar"/>
              </w:rPr>
              <w:t>主要指标</w:t>
            </w:r>
          </w:p>
        </w:tc>
        <w:tc>
          <w:tcPr>
            <w:tcW w:w="1048"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b/>
                <w:bCs/>
                <w:color w:val="auto"/>
                <w:sz w:val="23"/>
                <w:szCs w:val="23"/>
              </w:rPr>
            </w:pPr>
            <w:r>
              <w:rPr>
                <w:rFonts w:ascii="宋体" w:hAnsi="宋体" w:cs="宋体"/>
                <w:b/>
                <w:bCs/>
                <w:color w:val="auto"/>
                <w:kern w:val="0"/>
                <w:sz w:val="23"/>
                <w:szCs w:val="23"/>
                <w:lang w:bidi="ar"/>
              </w:rPr>
              <w:t>2020年</w:t>
            </w:r>
          </w:p>
        </w:tc>
        <w:tc>
          <w:tcPr>
            <w:tcW w:w="1913"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b/>
                <w:bCs/>
                <w:color w:val="auto"/>
                <w:sz w:val="23"/>
                <w:szCs w:val="23"/>
              </w:rPr>
            </w:pPr>
            <w:r>
              <w:rPr>
                <w:rFonts w:ascii="宋体" w:hAnsi="宋体" w:cs="宋体"/>
                <w:b/>
                <w:bCs/>
                <w:color w:val="auto"/>
                <w:kern w:val="0"/>
                <w:sz w:val="23"/>
                <w:szCs w:val="23"/>
                <w:lang w:bidi="ar"/>
              </w:rPr>
              <w:t>2025年</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b/>
                <w:bCs/>
                <w:color w:val="auto"/>
                <w:sz w:val="23"/>
                <w:szCs w:val="23"/>
              </w:rPr>
            </w:pPr>
            <w:r>
              <w:rPr>
                <w:rFonts w:ascii="宋体" w:hAnsi="宋体" w:cs="宋体"/>
                <w:b/>
                <w:bCs/>
                <w:color w:val="auto"/>
                <w:kern w:val="0"/>
                <w:sz w:val="23"/>
                <w:szCs w:val="23"/>
                <w:lang w:bidi="ar"/>
              </w:rPr>
              <w:t>指标属性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highlight w:val="none"/>
              </w:rPr>
            </w:pPr>
            <w:r>
              <w:rPr>
                <w:rFonts w:ascii="宋体" w:hAnsi="宋体" w:cs="宋体"/>
                <w:color w:val="auto"/>
                <w:kern w:val="0"/>
                <w:sz w:val="23"/>
                <w:szCs w:val="23"/>
                <w:highlight w:val="none"/>
                <w:lang w:bidi="ar"/>
              </w:rPr>
              <w:t>参保覆盖</w:t>
            </w: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highlight w:val="none"/>
              </w:rPr>
            </w:pPr>
            <w:r>
              <w:rPr>
                <w:rFonts w:ascii="宋体" w:hAnsi="宋体" w:cs="宋体"/>
                <w:color w:val="auto"/>
                <w:kern w:val="0"/>
                <w:sz w:val="23"/>
                <w:szCs w:val="23"/>
                <w:highlight w:val="none"/>
                <w:lang w:bidi="ar"/>
              </w:rPr>
              <w:t>基本医疗保险参保率（%）</w:t>
            </w:r>
          </w:p>
        </w:tc>
        <w:tc>
          <w:tcPr>
            <w:tcW w:w="1048" w:type="dxa"/>
            <w:tcBorders>
              <w:tl2br w:val="nil"/>
              <w:tr2bl w:val="nil"/>
            </w:tcBorders>
            <w:shd w:val="clear" w:color="auto" w:fill="auto"/>
            <w:vAlign w:val="center"/>
          </w:tcPr>
          <w:p>
            <w:pPr>
              <w:jc w:val="center"/>
              <w:rPr>
                <w:rFonts w:hint="default" w:ascii="Times New Roman" w:hAnsi="Times New Roman" w:cs="Times New Roman"/>
                <w:color w:val="auto"/>
                <w:sz w:val="23"/>
                <w:szCs w:val="23"/>
                <w:highlight w:val="none"/>
              </w:rPr>
            </w:pPr>
            <w:r>
              <w:rPr>
                <w:rFonts w:hint="default" w:ascii="Times New Roman" w:hAnsi="Times New Roman" w:cs="Times New Roman"/>
                <w:color w:val="auto"/>
                <w:sz w:val="23"/>
                <w:szCs w:val="23"/>
                <w:highlight w:val="none"/>
              </w:rPr>
              <w:t>＞95</w:t>
            </w:r>
          </w:p>
        </w:tc>
        <w:tc>
          <w:tcPr>
            <w:tcW w:w="1913" w:type="dxa"/>
            <w:tcBorders>
              <w:tl2br w:val="nil"/>
              <w:tr2bl w:val="nil"/>
            </w:tcBorders>
            <w:shd w:val="clear" w:color="auto" w:fill="auto"/>
            <w:vAlign w:val="center"/>
          </w:tcPr>
          <w:p>
            <w:pPr>
              <w:jc w:val="center"/>
              <w:rPr>
                <w:rFonts w:hint="default" w:ascii="Times New Roman" w:hAnsi="Times New Roman" w:cs="Times New Roman"/>
                <w:color w:val="auto"/>
                <w:sz w:val="23"/>
                <w:szCs w:val="23"/>
                <w:highlight w:val="none"/>
              </w:rPr>
            </w:pPr>
            <w:r>
              <w:rPr>
                <w:rFonts w:hint="default" w:ascii="Times New Roman" w:hAnsi="Times New Roman" w:cs="Times New Roman"/>
                <w:color w:val="auto"/>
                <w:sz w:val="23"/>
                <w:szCs w:val="23"/>
                <w:highlight w:val="none"/>
              </w:rPr>
              <w:t>＞95</w:t>
            </w:r>
            <w:r>
              <w:rPr>
                <w:rFonts w:hint="default" w:ascii="Times New Roman" w:hAnsi="Times New Roman" w:cs="Times New Roman"/>
                <w:color w:val="auto"/>
                <w:sz w:val="23"/>
                <w:szCs w:val="23"/>
                <w:highlight w:val="none"/>
                <w:vertAlign w:val="superscript"/>
              </w:rPr>
              <w:t>①</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highlight w:val="none"/>
              </w:rPr>
            </w:pPr>
            <w:r>
              <w:rPr>
                <w:rFonts w:ascii="宋体" w:hAnsi="宋体" w:cs="宋体"/>
                <w:color w:val="auto"/>
                <w:kern w:val="0"/>
                <w:sz w:val="23"/>
                <w:szCs w:val="23"/>
                <w:highlight w:val="none"/>
                <w:lang w:bidi="ar"/>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 w:hRule="atLeast"/>
          <w:jc w:val="center"/>
        </w:trPr>
        <w:tc>
          <w:tcPr>
            <w:tcW w:w="1379" w:type="dxa"/>
            <w:vMerge w:val="restart"/>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highlight w:val="none"/>
              </w:rPr>
            </w:pPr>
            <w:r>
              <w:rPr>
                <w:rFonts w:ascii="宋体" w:hAnsi="宋体" w:cs="宋体"/>
                <w:color w:val="auto"/>
                <w:kern w:val="0"/>
                <w:sz w:val="23"/>
                <w:szCs w:val="23"/>
                <w:highlight w:val="none"/>
                <w:lang w:bidi="ar"/>
              </w:rPr>
              <w:t>基金安全</w:t>
            </w: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highlight w:val="none"/>
              </w:rPr>
            </w:pPr>
            <w:r>
              <w:rPr>
                <w:rFonts w:ascii="宋体" w:hAnsi="宋体" w:cs="宋体"/>
                <w:color w:val="auto"/>
                <w:kern w:val="0"/>
                <w:sz w:val="23"/>
                <w:szCs w:val="23"/>
                <w:highlight w:val="none"/>
                <w:lang w:bidi="ar"/>
              </w:rPr>
              <w:t>基本医疗保险（含生育保险）基金收入（亿元）</w:t>
            </w:r>
          </w:p>
        </w:tc>
        <w:tc>
          <w:tcPr>
            <w:tcW w:w="1048" w:type="dxa"/>
            <w:tcBorders>
              <w:tl2br w:val="nil"/>
              <w:tr2bl w:val="nil"/>
            </w:tcBorders>
            <w:shd w:val="clear" w:color="auto" w:fill="auto"/>
            <w:vAlign w:val="center"/>
          </w:tcPr>
          <w:p>
            <w:pPr>
              <w:jc w:val="center"/>
              <w:rPr>
                <w:rFonts w:hint="default" w:ascii="Times New Roman" w:hAnsi="Times New Roman" w:cs="Times New Roman"/>
                <w:color w:val="auto"/>
                <w:kern w:val="0"/>
                <w:sz w:val="23"/>
                <w:szCs w:val="23"/>
                <w:highlight w:val="none"/>
                <w:lang w:bidi="ar"/>
              </w:rPr>
            </w:pPr>
            <w:r>
              <w:rPr>
                <w:rFonts w:hint="default" w:ascii="Times New Roman" w:hAnsi="Times New Roman" w:cs="Times New Roman"/>
                <w:color w:val="auto"/>
                <w:sz w:val="22"/>
                <w:szCs w:val="22"/>
                <w:highlight w:val="none"/>
                <w:lang w:val="en-US" w:eastAsia="zh-CN"/>
              </w:rPr>
              <w:t>55.12</w:t>
            </w:r>
          </w:p>
        </w:tc>
        <w:tc>
          <w:tcPr>
            <w:tcW w:w="1913" w:type="dxa"/>
            <w:tcBorders>
              <w:tl2br w:val="nil"/>
              <w:tr2bl w:val="nil"/>
            </w:tcBorders>
            <w:shd w:val="clear" w:color="auto" w:fill="auto"/>
            <w:vAlign w:val="center"/>
          </w:tcPr>
          <w:p>
            <w:pPr>
              <w:jc w:val="left"/>
              <w:rPr>
                <w:rFonts w:hint="default" w:ascii="Times New Roman" w:hAnsi="Times New Roman" w:cs="Times New Roman"/>
                <w:color w:val="auto"/>
                <w:kern w:val="0"/>
                <w:sz w:val="23"/>
                <w:szCs w:val="23"/>
                <w:highlight w:val="none"/>
                <w:lang w:bidi="ar"/>
              </w:rPr>
            </w:pPr>
            <w:r>
              <w:rPr>
                <w:rFonts w:hint="default" w:ascii="Times New Roman" w:hAnsi="Times New Roman" w:cs="Times New Roman"/>
                <w:color w:val="auto"/>
                <w:sz w:val="22"/>
                <w:szCs w:val="22"/>
                <w:highlight w:val="none"/>
                <w:lang w:eastAsia="zh-CN"/>
              </w:rPr>
              <w:t>收入规模与经济规模更加适应</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highlight w:val="none"/>
              </w:rPr>
            </w:pPr>
            <w:r>
              <w:rPr>
                <w:rFonts w:ascii="宋体" w:hAnsi="宋体" w:cs="宋体"/>
                <w:color w:val="auto"/>
                <w:kern w:val="0"/>
                <w:sz w:val="23"/>
                <w:szCs w:val="23"/>
                <w:highlight w:val="none"/>
                <w:lang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vMerge w:val="continue"/>
            <w:tcBorders>
              <w:tl2br w:val="nil"/>
              <w:tr2bl w:val="nil"/>
            </w:tcBorders>
            <w:shd w:val="clear" w:color="auto" w:fill="auto"/>
            <w:vAlign w:val="center"/>
          </w:tcPr>
          <w:p>
            <w:pPr>
              <w:spacing w:line="300" w:lineRule="exact"/>
              <w:jc w:val="center"/>
              <w:rPr>
                <w:rFonts w:hint="default" w:ascii="宋体" w:hAnsi="宋体" w:cs="宋体"/>
                <w:color w:val="auto"/>
                <w:sz w:val="23"/>
                <w:szCs w:val="23"/>
                <w:highlight w:val="none"/>
              </w:rPr>
            </w:pP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highlight w:val="none"/>
              </w:rPr>
            </w:pPr>
            <w:r>
              <w:rPr>
                <w:rFonts w:ascii="宋体" w:hAnsi="宋体" w:cs="宋体"/>
                <w:color w:val="auto"/>
                <w:kern w:val="0"/>
                <w:sz w:val="23"/>
                <w:szCs w:val="23"/>
                <w:highlight w:val="none"/>
                <w:lang w:bidi="ar"/>
              </w:rPr>
              <w:t>基本医疗保险（含生育保险）基金支出（亿元）</w:t>
            </w:r>
          </w:p>
        </w:tc>
        <w:tc>
          <w:tcPr>
            <w:tcW w:w="1048" w:type="dxa"/>
            <w:tcBorders>
              <w:tl2br w:val="nil"/>
              <w:tr2bl w:val="nil"/>
            </w:tcBorders>
            <w:shd w:val="clear" w:color="auto" w:fill="auto"/>
            <w:vAlign w:val="center"/>
          </w:tcPr>
          <w:p>
            <w:pPr>
              <w:jc w:val="center"/>
              <w:rPr>
                <w:rFonts w:hint="default" w:ascii="宋体" w:hAnsi="宋体" w:cs="宋体"/>
                <w:color w:val="auto"/>
                <w:kern w:val="0"/>
                <w:sz w:val="23"/>
                <w:szCs w:val="23"/>
                <w:highlight w:val="none"/>
                <w:lang w:bidi="ar"/>
              </w:rPr>
            </w:pPr>
            <w:r>
              <w:rPr>
                <w:rFonts w:hint="default" w:ascii="Times New Roman" w:hAnsi="Times New Roman" w:cs="Times New Roman"/>
                <w:color w:val="auto"/>
                <w:sz w:val="22"/>
                <w:szCs w:val="22"/>
                <w:highlight w:val="none"/>
                <w:lang w:val="en-US" w:eastAsia="zh-CN"/>
              </w:rPr>
              <w:t>48.36</w:t>
            </w:r>
          </w:p>
        </w:tc>
        <w:tc>
          <w:tcPr>
            <w:tcW w:w="1913" w:type="dxa"/>
            <w:tcBorders>
              <w:tl2br w:val="nil"/>
              <w:tr2bl w:val="nil"/>
            </w:tcBorders>
            <w:shd w:val="clear" w:color="auto" w:fill="auto"/>
            <w:vAlign w:val="center"/>
          </w:tcPr>
          <w:p>
            <w:pPr>
              <w:jc w:val="left"/>
              <w:rPr>
                <w:rFonts w:hint="default" w:ascii="宋体" w:hAnsi="宋体" w:cs="宋体"/>
                <w:color w:val="auto"/>
                <w:kern w:val="0"/>
                <w:sz w:val="23"/>
                <w:szCs w:val="23"/>
                <w:highlight w:val="none"/>
                <w:lang w:bidi="ar"/>
              </w:rPr>
            </w:pPr>
            <w:r>
              <w:rPr>
                <w:rFonts w:hint="default" w:ascii="Times New Roman" w:hAnsi="Times New Roman" w:cs="Times New Roman"/>
                <w:color w:val="auto"/>
                <w:sz w:val="22"/>
                <w:szCs w:val="22"/>
                <w:highlight w:val="none"/>
                <w:lang w:eastAsia="zh-CN"/>
              </w:rPr>
              <w:t>支出规模与经济发展水平、群众疾病健康需求相适应</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highlight w:val="none"/>
              </w:rPr>
            </w:pPr>
            <w:r>
              <w:rPr>
                <w:rFonts w:ascii="宋体" w:hAnsi="宋体" w:cs="宋体"/>
                <w:color w:val="auto"/>
                <w:kern w:val="0"/>
                <w:sz w:val="23"/>
                <w:szCs w:val="23"/>
                <w:highlight w:val="none"/>
                <w:lang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vMerge w:val="restart"/>
            <w:tcBorders>
              <w:tl2br w:val="nil"/>
              <w:tr2bl w:val="nil"/>
            </w:tcBorders>
            <w:shd w:val="clear" w:color="auto" w:fill="auto"/>
            <w:vAlign w:val="center"/>
          </w:tcPr>
          <w:p>
            <w:pPr>
              <w:spacing w:line="300" w:lineRule="exact"/>
              <w:jc w:val="center"/>
              <w:rPr>
                <w:rFonts w:hint="default" w:ascii="宋体" w:hAnsi="宋体" w:cs="宋体"/>
                <w:color w:val="auto"/>
                <w:sz w:val="23"/>
                <w:szCs w:val="23"/>
              </w:rPr>
            </w:pPr>
            <w:r>
              <w:rPr>
                <w:rFonts w:ascii="宋体" w:hAnsi="宋体" w:cs="宋体"/>
                <w:color w:val="auto"/>
                <w:sz w:val="23"/>
                <w:szCs w:val="23"/>
              </w:rPr>
              <w:t>保障程度</w:t>
            </w: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rPr>
            </w:pPr>
            <w:r>
              <w:rPr>
                <w:rFonts w:ascii="宋体" w:hAnsi="宋体" w:cs="宋体"/>
                <w:color w:val="auto"/>
                <w:kern w:val="0"/>
                <w:sz w:val="23"/>
                <w:szCs w:val="23"/>
                <w:lang w:bidi="ar"/>
              </w:rPr>
              <w:t>职工基本医疗保险政策范围内住院费用基金支付比例（%）</w:t>
            </w:r>
          </w:p>
        </w:tc>
        <w:tc>
          <w:tcPr>
            <w:tcW w:w="1048" w:type="dxa"/>
            <w:tcBorders>
              <w:tl2br w:val="nil"/>
              <w:tr2bl w:val="nil"/>
            </w:tcBorders>
            <w:shd w:val="clear" w:color="auto" w:fill="auto"/>
            <w:vAlign w:val="center"/>
          </w:tcPr>
          <w:p>
            <w:pPr>
              <w:jc w:val="center"/>
              <w:rPr>
                <w:rFonts w:hint="default" w:ascii="宋体" w:hAnsi="宋体" w:cs="宋体"/>
                <w:color w:val="auto"/>
                <w:sz w:val="23"/>
                <w:szCs w:val="23"/>
              </w:rPr>
            </w:pPr>
            <w:r>
              <w:rPr>
                <w:rFonts w:hint="default" w:ascii="Times New Roman" w:hAnsi="Times New Roman" w:cs="Times New Roman"/>
                <w:color w:val="auto"/>
                <w:sz w:val="22"/>
                <w:szCs w:val="22"/>
                <w:lang w:val="en-US" w:eastAsia="zh-CN"/>
              </w:rPr>
              <w:t>83.43</w:t>
            </w:r>
          </w:p>
        </w:tc>
        <w:tc>
          <w:tcPr>
            <w:tcW w:w="1913" w:type="dxa"/>
            <w:tcBorders>
              <w:tl2br w:val="nil"/>
              <w:tr2bl w:val="nil"/>
            </w:tcBorders>
            <w:shd w:val="clear" w:color="auto" w:fill="auto"/>
            <w:vAlign w:val="center"/>
          </w:tcPr>
          <w:p>
            <w:pPr>
              <w:jc w:val="center"/>
              <w:rPr>
                <w:rFonts w:hint="default" w:ascii="宋体" w:hAnsi="宋体" w:cs="宋体"/>
                <w:color w:val="auto"/>
                <w:kern w:val="0"/>
                <w:sz w:val="23"/>
                <w:szCs w:val="23"/>
                <w:lang w:bidi="ar"/>
              </w:rPr>
            </w:pPr>
            <w:r>
              <w:rPr>
                <w:rFonts w:ascii="宋体" w:hAnsi="宋体" w:cs="宋体"/>
                <w:color w:val="auto"/>
                <w:kern w:val="0"/>
                <w:sz w:val="23"/>
                <w:szCs w:val="23"/>
                <w:lang w:bidi="ar"/>
              </w:rPr>
              <w:t>保持稳定</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kern w:val="0"/>
                <w:sz w:val="23"/>
                <w:szCs w:val="23"/>
                <w:lang w:bidi="ar"/>
              </w:rPr>
            </w:pPr>
            <w:r>
              <w:rPr>
                <w:rFonts w:ascii="宋体" w:hAnsi="宋体" w:cs="宋体"/>
                <w:color w:val="auto"/>
                <w:kern w:val="0"/>
                <w:sz w:val="23"/>
                <w:szCs w:val="23"/>
                <w:lang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vMerge w:val="continue"/>
            <w:tcBorders>
              <w:tl2br w:val="nil"/>
              <w:tr2bl w:val="nil"/>
            </w:tcBorders>
            <w:shd w:val="clear" w:color="auto" w:fill="auto"/>
            <w:vAlign w:val="center"/>
          </w:tcPr>
          <w:p>
            <w:pPr>
              <w:spacing w:line="300" w:lineRule="exact"/>
              <w:jc w:val="center"/>
              <w:rPr>
                <w:rFonts w:hint="default" w:ascii="宋体" w:hAnsi="宋体" w:cs="宋体"/>
                <w:color w:val="auto"/>
                <w:sz w:val="23"/>
                <w:szCs w:val="23"/>
              </w:rPr>
            </w:pP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rPr>
            </w:pPr>
            <w:r>
              <w:rPr>
                <w:rFonts w:ascii="宋体" w:hAnsi="宋体" w:cs="宋体"/>
                <w:color w:val="auto"/>
                <w:kern w:val="0"/>
                <w:sz w:val="23"/>
                <w:szCs w:val="23"/>
                <w:lang w:bidi="ar"/>
              </w:rPr>
              <w:t>城乡居民基本医疗保险政策范围内住院费用基金支付比例（含大病保险）（%）</w:t>
            </w:r>
          </w:p>
        </w:tc>
        <w:tc>
          <w:tcPr>
            <w:tcW w:w="1048" w:type="dxa"/>
            <w:tcBorders>
              <w:tl2br w:val="nil"/>
              <w:tr2bl w:val="nil"/>
            </w:tcBorders>
            <w:shd w:val="clear" w:color="auto" w:fill="auto"/>
            <w:vAlign w:val="center"/>
          </w:tcPr>
          <w:p>
            <w:pPr>
              <w:jc w:val="center"/>
              <w:rPr>
                <w:rFonts w:hint="default" w:ascii="宋体" w:hAnsi="宋体" w:cs="宋体"/>
                <w:color w:val="auto"/>
                <w:kern w:val="0"/>
                <w:sz w:val="23"/>
                <w:szCs w:val="23"/>
                <w:lang w:bidi="ar"/>
              </w:rPr>
            </w:pPr>
            <w:r>
              <w:rPr>
                <w:rFonts w:hint="default" w:ascii="Times New Roman" w:hAnsi="Times New Roman" w:cs="Times New Roman"/>
                <w:color w:val="auto"/>
                <w:sz w:val="22"/>
                <w:szCs w:val="22"/>
                <w:lang w:val="en-US" w:eastAsia="zh-CN"/>
              </w:rPr>
              <w:t>70.58</w:t>
            </w:r>
          </w:p>
        </w:tc>
        <w:tc>
          <w:tcPr>
            <w:tcW w:w="1913" w:type="dxa"/>
            <w:tcBorders>
              <w:tl2br w:val="nil"/>
              <w:tr2bl w:val="nil"/>
            </w:tcBorders>
            <w:shd w:val="clear" w:color="auto" w:fill="auto"/>
            <w:vAlign w:val="center"/>
          </w:tcPr>
          <w:p>
            <w:pPr>
              <w:jc w:val="center"/>
              <w:rPr>
                <w:rFonts w:hint="default" w:ascii="宋体" w:hAnsi="宋体" w:cs="宋体"/>
                <w:color w:val="auto"/>
                <w:kern w:val="0"/>
                <w:sz w:val="23"/>
                <w:szCs w:val="23"/>
                <w:lang w:bidi="ar"/>
              </w:rPr>
            </w:pPr>
            <w:r>
              <w:rPr>
                <w:rFonts w:ascii="宋体" w:hAnsi="宋体" w:cs="宋体"/>
                <w:color w:val="auto"/>
                <w:kern w:val="0"/>
                <w:sz w:val="23"/>
                <w:szCs w:val="23"/>
                <w:lang w:bidi="ar"/>
              </w:rPr>
              <w:t>保持稳定</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rPr>
            </w:pPr>
            <w:r>
              <w:rPr>
                <w:rFonts w:ascii="宋体" w:hAnsi="宋体" w:cs="宋体"/>
                <w:color w:val="auto"/>
                <w:kern w:val="0"/>
                <w:sz w:val="23"/>
                <w:szCs w:val="23"/>
                <w:lang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vMerge w:val="continue"/>
            <w:tcBorders>
              <w:tl2br w:val="nil"/>
              <w:tr2bl w:val="nil"/>
            </w:tcBorders>
            <w:shd w:val="clear" w:color="auto" w:fill="auto"/>
            <w:vAlign w:val="center"/>
          </w:tcPr>
          <w:p>
            <w:pPr>
              <w:spacing w:line="300" w:lineRule="exact"/>
              <w:jc w:val="center"/>
              <w:rPr>
                <w:rFonts w:hint="default" w:ascii="宋体" w:hAnsi="宋体" w:cs="宋体"/>
                <w:color w:val="auto"/>
                <w:sz w:val="23"/>
                <w:szCs w:val="23"/>
              </w:rPr>
            </w:pP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rPr>
            </w:pPr>
            <w:r>
              <w:rPr>
                <w:rFonts w:ascii="宋体" w:hAnsi="宋体" w:cs="宋体"/>
                <w:color w:val="auto"/>
                <w:kern w:val="0"/>
                <w:sz w:val="23"/>
                <w:szCs w:val="23"/>
                <w:lang w:bidi="ar"/>
              </w:rPr>
              <w:t>重点救助对象符合规定的医疗费用住院救助比例（%）</w:t>
            </w:r>
          </w:p>
        </w:tc>
        <w:tc>
          <w:tcPr>
            <w:tcW w:w="1048" w:type="dxa"/>
            <w:tcBorders>
              <w:tl2br w:val="nil"/>
              <w:tr2bl w:val="nil"/>
            </w:tcBorders>
            <w:shd w:val="clear" w:color="auto" w:fill="auto"/>
            <w:vAlign w:val="center"/>
          </w:tcPr>
          <w:p>
            <w:pPr>
              <w:jc w:val="center"/>
              <w:rPr>
                <w:rFonts w:hint="default" w:ascii="宋体" w:hAnsi="宋体" w:cs="宋体"/>
                <w:color w:val="auto"/>
                <w:kern w:val="0"/>
                <w:sz w:val="23"/>
                <w:szCs w:val="23"/>
                <w:lang w:val="en-US" w:bidi="ar"/>
              </w:rPr>
            </w:pPr>
            <w:r>
              <w:rPr>
                <w:rFonts w:hint="eastAsia" w:ascii="Times New Roman" w:hAnsi="Times New Roman" w:cs="Times New Roman"/>
                <w:color w:val="auto"/>
                <w:sz w:val="22"/>
                <w:szCs w:val="22"/>
                <w:lang w:val="en-US" w:eastAsia="zh-CN"/>
              </w:rPr>
              <w:t>70</w:t>
            </w:r>
          </w:p>
        </w:tc>
        <w:tc>
          <w:tcPr>
            <w:tcW w:w="1913" w:type="dxa"/>
            <w:tcBorders>
              <w:tl2br w:val="nil"/>
              <w:tr2bl w:val="nil"/>
            </w:tcBorders>
            <w:shd w:val="clear" w:color="auto" w:fill="auto"/>
            <w:vAlign w:val="center"/>
          </w:tcPr>
          <w:p>
            <w:pPr>
              <w:jc w:val="center"/>
              <w:rPr>
                <w:rFonts w:hint="default" w:ascii="宋体" w:hAnsi="宋体" w:cs="宋体"/>
                <w:color w:val="auto"/>
                <w:kern w:val="0"/>
                <w:sz w:val="23"/>
                <w:szCs w:val="23"/>
                <w:lang w:bidi="ar"/>
              </w:rPr>
            </w:pPr>
            <w:r>
              <w:rPr>
                <w:rFonts w:hint="eastAsia" w:ascii="Times New Roman" w:hAnsi="Times New Roman" w:cs="Times New Roman"/>
                <w:color w:val="auto"/>
                <w:sz w:val="22"/>
                <w:szCs w:val="22"/>
                <w:lang w:val="en-US" w:eastAsia="zh-CN"/>
              </w:rPr>
              <w:t>≥</w:t>
            </w:r>
            <w:r>
              <w:rPr>
                <w:rFonts w:hint="default" w:ascii="Times New Roman" w:hAnsi="Times New Roman" w:cs="Times New Roman"/>
                <w:color w:val="auto"/>
                <w:sz w:val="22"/>
                <w:szCs w:val="22"/>
                <w:lang w:val="en-US" w:eastAsia="zh-CN"/>
              </w:rPr>
              <w:t>70</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rPr>
            </w:pPr>
            <w:r>
              <w:rPr>
                <w:rFonts w:ascii="宋体" w:hAnsi="宋体" w:cs="宋体"/>
                <w:color w:val="auto"/>
                <w:kern w:val="0"/>
                <w:sz w:val="23"/>
                <w:szCs w:val="23"/>
                <w:lang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vMerge w:val="continue"/>
            <w:tcBorders>
              <w:tl2br w:val="nil"/>
              <w:tr2bl w:val="nil"/>
            </w:tcBorders>
            <w:shd w:val="clear" w:color="auto" w:fill="auto"/>
            <w:vAlign w:val="center"/>
          </w:tcPr>
          <w:p>
            <w:pPr>
              <w:spacing w:line="300" w:lineRule="exact"/>
              <w:jc w:val="center"/>
              <w:rPr>
                <w:rFonts w:hint="default" w:ascii="宋体" w:hAnsi="宋体" w:cs="宋体"/>
                <w:color w:val="auto"/>
                <w:sz w:val="23"/>
                <w:szCs w:val="23"/>
              </w:rPr>
            </w:pP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rPr>
            </w:pPr>
            <w:r>
              <w:rPr>
                <w:rFonts w:ascii="宋体" w:hAnsi="宋体" w:cs="宋体"/>
                <w:color w:val="auto"/>
                <w:kern w:val="0"/>
                <w:sz w:val="23"/>
                <w:szCs w:val="23"/>
                <w:lang w:bidi="ar"/>
              </w:rPr>
              <w:t>个人卫生支出占卫生总费用的比例（%）</w:t>
            </w:r>
          </w:p>
        </w:tc>
        <w:tc>
          <w:tcPr>
            <w:tcW w:w="1048" w:type="dxa"/>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cs="Times New Roman"/>
                <w:color w:val="auto"/>
                <w:kern w:val="0"/>
                <w:sz w:val="23"/>
                <w:szCs w:val="23"/>
                <w:lang w:bidi="ar"/>
              </w:rPr>
            </w:pPr>
            <w:r>
              <w:rPr>
                <w:rFonts w:hint="default" w:ascii="Times New Roman" w:hAnsi="Times New Roman" w:eastAsia="宋体" w:cs="Times New Roman"/>
                <w:color w:val="auto"/>
                <w:sz w:val="22"/>
                <w:szCs w:val="22"/>
                <w:u w:val="none"/>
                <w:lang w:val="en-US" w:eastAsia="zh-CN"/>
              </w:rPr>
              <w:t>－</w:t>
            </w:r>
          </w:p>
        </w:tc>
        <w:tc>
          <w:tcPr>
            <w:tcW w:w="1913" w:type="dxa"/>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cs="Times New Roman"/>
                <w:color w:val="auto"/>
                <w:kern w:val="0"/>
                <w:sz w:val="23"/>
                <w:szCs w:val="23"/>
                <w:lang w:bidi="ar"/>
              </w:rPr>
            </w:pPr>
            <w:r>
              <w:rPr>
                <w:rFonts w:hint="default" w:ascii="Times New Roman" w:hAnsi="Times New Roman" w:cs="Times New Roman"/>
                <w:color w:val="auto"/>
                <w:kern w:val="0"/>
                <w:sz w:val="23"/>
                <w:szCs w:val="23"/>
                <w:lang w:bidi="ar"/>
              </w:rPr>
              <w:t>27</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rPr>
            </w:pPr>
            <w:r>
              <w:rPr>
                <w:rFonts w:ascii="宋体" w:hAnsi="宋体" w:cs="宋体"/>
                <w:color w:val="auto"/>
                <w:kern w:val="0"/>
                <w:sz w:val="23"/>
                <w:szCs w:val="23"/>
                <w:lang w:bidi="ar"/>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vMerge w:val="restart"/>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rPr>
            </w:pPr>
            <w:r>
              <w:rPr>
                <w:rFonts w:ascii="宋体" w:hAnsi="宋体" w:cs="宋体"/>
                <w:color w:val="auto"/>
                <w:kern w:val="0"/>
                <w:sz w:val="23"/>
                <w:szCs w:val="23"/>
                <w:lang w:bidi="ar"/>
              </w:rPr>
              <w:t>精细管理</w:t>
            </w: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rPr>
            </w:pPr>
            <w:r>
              <w:rPr>
                <w:rFonts w:ascii="宋体" w:hAnsi="宋体" w:cs="宋体"/>
                <w:color w:val="auto"/>
                <w:kern w:val="0"/>
                <w:sz w:val="23"/>
                <w:szCs w:val="23"/>
                <w:lang w:bidi="ar"/>
              </w:rPr>
              <w:t>实行按疾病诊断相关分组和按病种付费的住院费用占全部住院费用的比例（%）</w:t>
            </w:r>
          </w:p>
        </w:tc>
        <w:tc>
          <w:tcPr>
            <w:tcW w:w="1048" w:type="dxa"/>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cs="Times New Roman"/>
                <w:color w:val="auto"/>
                <w:kern w:val="0"/>
                <w:sz w:val="23"/>
                <w:szCs w:val="23"/>
                <w:lang w:bidi="ar"/>
              </w:rPr>
            </w:pPr>
            <w:r>
              <w:rPr>
                <w:rFonts w:hint="default" w:ascii="Times New Roman" w:hAnsi="Times New Roman" w:cs="Times New Roman"/>
                <w:color w:val="auto"/>
                <w:kern w:val="0"/>
                <w:sz w:val="23"/>
                <w:szCs w:val="23"/>
                <w:lang w:val="en-US" w:eastAsia="zh-CN" w:bidi="ar"/>
              </w:rPr>
              <w:t>11.2</w:t>
            </w:r>
          </w:p>
        </w:tc>
        <w:tc>
          <w:tcPr>
            <w:tcW w:w="1913" w:type="dxa"/>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cs="Times New Roman"/>
                <w:color w:val="auto"/>
                <w:kern w:val="0"/>
                <w:sz w:val="23"/>
                <w:szCs w:val="23"/>
                <w:lang w:bidi="ar"/>
              </w:rPr>
            </w:pPr>
            <w:r>
              <w:rPr>
                <w:rFonts w:hint="default" w:ascii="Times New Roman" w:hAnsi="Times New Roman" w:cs="Times New Roman"/>
                <w:color w:val="auto"/>
                <w:kern w:val="0"/>
                <w:sz w:val="23"/>
                <w:szCs w:val="23"/>
                <w:lang w:bidi="ar"/>
              </w:rPr>
              <w:t>70</w:t>
            </w:r>
          </w:p>
        </w:tc>
        <w:tc>
          <w:tcPr>
            <w:tcW w:w="1236" w:type="dxa"/>
            <w:tcBorders>
              <w:tl2br w:val="nil"/>
              <w:tr2bl w:val="nil"/>
            </w:tcBorders>
            <w:shd w:val="clear" w:color="auto" w:fill="auto"/>
            <w:vAlign w:val="center"/>
          </w:tcPr>
          <w:p>
            <w:pPr>
              <w:spacing w:line="300" w:lineRule="exact"/>
              <w:jc w:val="center"/>
              <w:rPr>
                <w:rFonts w:hint="default"/>
                <w:color w:val="auto"/>
                <w:sz w:val="23"/>
                <w:szCs w:val="23"/>
              </w:rPr>
            </w:pPr>
            <w:r>
              <w:rPr>
                <w:color w:val="auto"/>
                <w:sz w:val="23"/>
                <w:szCs w:val="23"/>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vMerge w:val="continue"/>
            <w:tcBorders>
              <w:tl2br w:val="nil"/>
              <w:tr2bl w:val="nil"/>
            </w:tcBorders>
            <w:shd w:val="clear" w:color="auto" w:fill="auto"/>
            <w:vAlign w:val="center"/>
          </w:tcPr>
          <w:p>
            <w:pPr>
              <w:spacing w:line="300" w:lineRule="exact"/>
              <w:jc w:val="center"/>
              <w:rPr>
                <w:rFonts w:hint="default" w:ascii="宋体" w:hAnsi="宋体" w:cs="宋体"/>
                <w:color w:val="auto"/>
                <w:sz w:val="23"/>
                <w:szCs w:val="23"/>
              </w:rPr>
            </w:pP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rPr>
            </w:pPr>
            <w:r>
              <w:rPr>
                <w:rFonts w:ascii="宋体" w:hAnsi="宋体" w:cs="宋体"/>
                <w:color w:val="auto"/>
                <w:kern w:val="0"/>
                <w:sz w:val="23"/>
                <w:szCs w:val="23"/>
                <w:lang w:bidi="ar"/>
              </w:rPr>
              <w:t>公立医疗机构通过省级集中采购平台采购药品金额占全部采购药品（不含中药饮片）金额的比例（%）</w:t>
            </w:r>
          </w:p>
        </w:tc>
        <w:tc>
          <w:tcPr>
            <w:tcW w:w="1048" w:type="dxa"/>
            <w:tcBorders>
              <w:tl2br w:val="nil"/>
              <w:tr2bl w:val="nil"/>
            </w:tcBorders>
            <w:shd w:val="clear" w:color="auto" w:fill="auto"/>
            <w:vAlign w:val="center"/>
          </w:tcPr>
          <w:p>
            <w:pPr>
              <w:jc w:val="center"/>
              <w:rPr>
                <w:rFonts w:hint="default" w:ascii="Times New Roman" w:hAnsi="Times New Roman" w:cs="Times New Roman"/>
                <w:color w:val="auto"/>
                <w:kern w:val="0"/>
                <w:sz w:val="23"/>
                <w:szCs w:val="23"/>
                <w:lang w:bidi="ar"/>
              </w:rPr>
            </w:pPr>
            <w:r>
              <w:rPr>
                <w:rFonts w:hint="default" w:ascii="Times New Roman" w:hAnsi="Times New Roman" w:eastAsia="宋体" w:cs="Times New Roman"/>
                <w:color w:val="auto"/>
                <w:sz w:val="22"/>
                <w:szCs w:val="22"/>
                <w:u w:val="none"/>
                <w:lang w:val="en-US" w:eastAsia="zh-CN"/>
              </w:rPr>
              <w:t>－</w:t>
            </w:r>
          </w:p>
        </w:tc>
        <w:tc>
          <w:tcPr>
            <w:tcW w:w="1913" w:type="dxa"/>
            <w:tcBorders>
              <w:tl2br w:val="nil"/>
              <w:tr2bl w:val="nil"/>
            </w:tcBorders>
            <w:shd w:val="clear" w:color="auto" w:fill="auto"/>
            <w:vAlign w:val="center"/>
          </w:tcPr>
          <w:p>
            <w:pPr>
              <w:jc w:val="center"/>
              <w:rPr>
                <w:rFonts w:hint="default" w:ascii="Times New Roman" w:hAnsi="Times New Roman" w:cs="Times New Roman"/>
                <w:color w:val="auto"/>
                <w:sz w:val="23"/>
                <w:szCs w:val="23"/>
                <w:lang w:bidi="ar"/>
              </w:rPr>
            </w:pPr>
            <w:r>
              <w:rPr>
                <w:rFonts w:hint="default" w:ascii="Times New Roman" w:hAnsi="Times New Roman" w:cs="Times New Roman"/>
                <w:color w:val="auto"/>
                <w:sz w:val="22"/>
                <w:szCs w:val="22"/>
                <w:lang w:val="en-US" w:eastAsia="zh-CN"/>
              </w:rPr>
              <w:t>90</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rPr>
            </w:pPr>
            <w:r>
              <w:rPr>
                <w:rFonts w:ascii="宋体" w:hAnsi="宋体" w:cs="宋体"/>
                <w:color w:val="auto"/>
                <w:kern w:val="0"/>
                <w:sz w:val="23"/>
                <w:szCs w:val="23"/>
                <w:lang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vMerge w:val="continue"/>
            <w:tcBorders>
              <w:tl2br w:val="nil"/>
              <w:tr2bl w:val="nil"/>
            </w:tcBorders>
            <w:shd w:val="clear" w:color="auto" w:fill="auto"/>
            <w:vAlign w:val="center"/>
          </w:tcPr>
          <w:p>
            <w:pPr>
              <w:spacing w:line="300" w:lineRule="exact"/>
              <w:jc w:val="center"/>
              <w:rPr>
                <w:rFonts w:hint="default" w:ascii="宋体" w:hAnsi="宋体" w:cs="宋体"/>
                <w:color w:val="auto"/>
                <w:sz w:val="23"/>
                <w:szCs w:val="23"/>
              </w:rPr>
            </w:pP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rPr>
            </w:pPr>
            <w:r>
              <w:rPr>
                <w:rFonts w:ascii="宋体" w:hAnsi="宋体" w:cs="宋体"/>
                <w:color w:val="auto"/>
                <w:kern w:val="0"/>
                <w:sz w:val="23"/>
                <w:szCs w:val="23"/>
                <w:lang w:bidi="ar"/>
              </w:rPr>
              <w:t>公立医疗机构通过省级集中采购平台采购高值医用耗材金额占全部采购高值医用耗材金额的比例（%）</w:t>
            </w:r>
          </w:p>
        </w:tc>
        <w:tc>
          <w:tcPr>
            <w:tcW w:w="1048" w:type="dxa"/>
            <w:tcBorders>
              <w:tl2br w:val="nil"/>
              <w:tr2bl w:val="nil"/>
            </w:tcBorders>
            <w:shd w:val="clear" w:color="auto" w:fill="auto"/>
            <w:vAlign w:val="center"/>
          </w:tcPr>
          <w:p>
            <w:pPr>
              <w:jc w:val="center"/>
              <w:rPr>
                <w:rFonts w:hint="default" w:ascii="Times New Roman" w:hAnsi="Times New Roman" w:cs="Times New Roman"/>
                <w:color w:val="auto"/>
                <w:kern w:val="0"/>
                <w:sz w:val="23"/>
                <w:szCs w:val="23"/>
                <w:lang w:bidi="ar"/>
              </w:rPr>
            </w:pPr>
            <w:r>
              <w:rPr>
                <w:rFonts w:hint="default" w:ascii="Times New Roman" w:hAnsi="Times New Roman" w:eastAsia="宋体" w:cs="Times New Roman"/>
                <w:color w:val="auto"/>
                <w:sz w:val="22"/>
                <w:szCs w:val="22"/>
                <w:u w:val="none"/>
                <w:lang w:val="en-US" w:eastAsia="zh-CN"/>
              </w:rPr>
              <w:t>－</w:t>
            </w:r>
          </w:p>
        </w:tc>
        <w:tc>
          <w:tcPr>
            <w:tcW w:w="1913" w:type="dxa"/>
            <w:tcBorders>
              <w:tl2br w:val="nil"/>
              <w:tr2bl w:val="nil"/>
            </w:tcBorders>
            <w:shd w:val="clear" w:color="auto" w:fill="auto"/>
            <w:vAlign w:val="center"/>
          </w:tcPr>
          <w:p>
            <w:pPr>
              <w:jc w:val="center"/>
              <w:rPr>
                <w:rFonts w:hint="default" w:ascii="Times New Roman" w:hAnsi="Times New Roman" w:cs="Times New Roman"/>
                <w:color w:val="auto"/>
                <w:sz w:val="23"/>
                <w:szCs w:val="23"/>
                <w:lang w:bidi="ar"/>
              </w:rPr>
            </w:pPr>
            <w:r>
              <w:rPr>
                <w:rFonts w:hint="default" w:ascii="Times New Roman" w:hAnsi="Times New Roman" w:cs="Times New Roman"/>
                <w:color w:val="auto"/>
                <w:sz w:val="23"/>
                <w:szCs w:val="23"/>
                <w:lang w:bidi="ar"/>
              </w:rPr>
              <w:t>80</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kern w:val="0"/>
                <w:sz w:val="23"/>
                <w:szCs w:val="23"/>
                <w:lang w:bidi="ar"/>
              </w:rPr>
            </w:pPr>
            <w:r>
              <w:rPr>
                <w:rFonts w:ascii="宋体" w:hAnsi="宋体" w:cs="宋体"/>
                <w:color w:val="auto"/>
                <w:kern w:val="0"/>
                <w:sz w:val="23"/>
                <w:szCs w:val="23"/>
                <w:lang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vMerge w:val="continue"/>
            <w:tcBorders>
              <w:tl2br w:val="nil"/>
              <w:tr2bl w:val="nil"/>
            </w:tcBorders>
            <w:shd w:val="clear" w:color="auto" w:fill="auto"/>
            <w:vAlign w:val="center"/>
          </w:tcPr>
          <w:p>
            <w:pPr>
              <w:spacing w:line="300" w:lineRule="exact"/>
              <w:jc w:val="center"/>
              <w:rPr>
                <w:rFonts w:hint="default" w:ascii="宋体" w:hAnsi="宋体" w:cs="宋体"/>
                <w:color w:val="auto"/>
                <w:sz w:val="23"/>
                <w:szCs w:val="23"/>
              </w:rPr>
            </w:pP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rPr>
            </w:pPr>
            <w:r>
              <w:rPr>
                <w:rFonts w:ascii="宋体" w:hAnsi="宋体" w:cs="宋体"/>
                <w:color w:val="auto"/>
                <w:kern w:val="0"/>
                <w:sz w:val="23"/>
                <w:szCs w:val="23"/>
                <w:lang w:bidi="ar"/>
              </w:rPr>
              <w:t>药品集中带量采购品种（个）</w:t>
            </w:r>
          </w:p>
        </w:tc>
        <w:tc>
          <w:tcPr>
            <w:tcW w:w="1048" w:type="dxa"/>
            <w:tcBorders>
              <w:tl2br w:val="nil"/>
              <w:tr2bl w:val="nil"/>
            </w:tcBorders>
            <w:shd w:val="clear" w:color="auto" w:fill="auto"/>
            <w:vAlign w:val="center"/>
          </w:tcPr>
          <w:p>
            <w:pPr>
              <w:jc w:val="center"/>
              <w:rPr>
                <w:rFonts w:hint="default" w:ascii="Times New Roman" w:hAnsi="Times New Roman" w:cs="Times New Roman"/>
                <w:color w:val="auto"/>
                <w:kern w:val="0"/>
                <w:sz w:val="23"/>
                <w:szCs w:val="23"/>
                <w:lang w:bidi="ar"/>
              </w:rPr>
            </w:pPr>
            <w:r>
              <w:rPr>
                <w:rFonts w:hint="default" w:ascii="Times New Roman" w:hAnsi="Times New Roman" w:eastAsia="宋体" w:cs="Times New Roman"/>
                <w:color w:val="auto"/>
                <w:sz w:val="22"/>
                <w:szCs w:val="22"/>
                <w:u w:val="none"/>
                <w:lang w:val="en-US" w:eastAsia="zh-CN"/>
              </w:rPr>
              <w:t>－</w:t>
            </w:r>
          </w:p>
        </w:tc>
        <w:tc>
          <w:tcPr>
            <w:tcW w:w="1913" w:type="dxa"/>
            <w:tcBorders>
              <w:tl2br w:val="nil"/>
              <w:tr2bl w:val="nil"/>
            </w:tcBorders>
            <w:shd w:val="clear" w:color="auto" w:fill="auto"/>
            <w:vAlign w:val="center"/>
          </w:tcPr>
          <w:p>
            <w:pPr>
              <w:jc w:val="center"/>
              <w:rPr>
                <w:rFonts w:hint="default" w:ascii="Times New Roman" w:hAnsi="Times New Roman" w:cs="Times New Roman"/>
                <w:color w:val="auto"/>
                <w:kern w:val="0"/>
                <w:sz w:val="23"/>
                <w:szCs w:val="23"/>
                <w:lang w:bidi="ar"/>
              </w:rPr>
            </w:pPr>
            <w:r>
              <w:rPr>
                <w:rFonts w:hint="default" w:ascii="Times New Roman" w:hAnsi="Times New Roman" w:cs="Times New Roman"/>
                <w:color w:val="auto"/>
                <w:kern w:val="0"/>
                <w:sz w:val="23"/>
                <w:szCs w:val="23"/>
                <w:lang w:bidi="ar"/>
              </w:rPr>
              <w:t>＞500</w:t>
            </w:r>
            <w:r>
              <w:rPr>
                <w:rFonts w:hint="default" w:ascii="Times New Roman" w:hAnsi="Times New Roman" w:cs="Times New Roman"/>
                <w:color w:val="auto"/>
                <w:kern w:val="0"/>
                <w:sz w:val="23"/>
                <w:szCs w:val="23"/>
                <w:vertAlign w:val="superscript"/>
                <w:lang w:bidi="ar"/>
              </w:rPr>
              <w:t>②</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rPr>
            </w:pPr>
            <w:r>
              <w:rPr>
                <w:rFonts w:ascii="宋体" w:hAnsi="宋体" w:cs="宋体"/>
                <w:color w:val="auto"/>
                <w:kern w:val="0"/>
                <w:sz w:val="23"/>
                <w:szCs w:val="23"/>
                <w:lang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vMerge w:val="continue"/>
            <w:tcBorders>
              <w:tl2br w:val="nil"/>
              <w:tr2bl w:val="nil"/>
            </w:tcBorders>
            <w:shd w:val="clear" w:color="auto" w:fill="auto"/>
            <w:vAlign w:val="center"/>
          </w:tcPr>
          <w:p>
            <w:pPr>
              <w:spacing w:line="300" w:lineRule="exact"/>
              <w:jc w:val="center"/>
              <w:rPr>
                <w:rFonts w:hint="default" w:ascii="宋体" w:hAnsi="宋体" w:cs="宋体"/>
                <w:color w:val="auto"/>
                <w:sz w:val="23"/>
                <w:szCs w:val="23"/>
              </w:rPr>
            </w:pP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kern w:val="0"/>
                <w:sz w:val="23"/>
                <w:szCs w:val="23"/>
                <w:lang w:bidi="ar"/>
              </w:rPr>
            </w:pPr>
            <w:r>
              <w:rPr>
                <w:rFonts w:ascii="宋体" w:hAnsi="宋体" w:cs="宋体"/>
                <w:color w:val="auto"/>
                <w:kern w:val="0"/>
                <w:sz w:val="23"/>
                <w:szCs w:val="23"/>
                <w:lang w:bidi="ar"/>
              </w:rPr>
              <w:t>高值医用耗材集中带量采购品种（类）</w:t>
            </w:r>
          </w:p>
        </w:tc>
        <w:tc>
          <w:tcPr>
            <w:tcW w:w="1048" w:type="dxa"/>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cs="Times New Roman"/>
                <w:color w:val="auto"/>
                <w:kern w:val="0"/>
                <w:sz w:val="23"/>
                <w:szCs w:val="23"/>
                <w:lang w:bidi="ar"/>
              </w:rPr>
            </w:pPr>
            <w:r>
              <w:rPr>
                <w:rFonts w:hint="default" w:ascii="Times New Roman" w:hAnsi="Times New Roman" w:cs="Times New Roman"/>
                <w:color w:val="auto"/>
                <w:kern w:val="0"/>
                <w:sz w:val="23"/>
                <w:szCs w:val="23"/>
                <w:lang w:val="en-US" w:eastAsia="zh-CN" w:bidi="ar"/>
              </w:rPr>
              <w:t>4</w:t>
            </w:r>
          </w:p>
        </w:tc>
        <w:tc>
          <w:tcPr>
            <w:tcW w:w="1913" w:type="dxa"/>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cs="Times New Roman"/>
                <w:color w:val="auto"/>
                <w:kern w:val="0"/>
                <w:sz w:val="23"/>
                <w:szCs w:val="23"/>
                <w:lang w:bidi="ar"/>
              </w:rPr>
            </w:pPr>
            <w:r>
              <w:rPr>
                <w:rFonts w:hint="default" w:ascii="Times New Roman" w:hAnsi="Times New Roman" w:cs="Times New Roman"/>
                <w:color w:val="auto"/>
                <w:kern w:val="0"/>
                <w:sz w:val="23"/>
                <w:szCs w:val="23"/>
                <w:lang w:bidi="ar"/>
              </w:rPr>
              <w:t>＞5</w:t>
            </w:r>
            <w:r>
              <w:rPr>
                <w:rFonts w:hint="default" w:ascii="Times New Roman" w:hAnsi="Times New Roman" w:cs="Times New Roman"/>
                <w:color w:val="auto"/>
                <w:kern w:val="0"/>
                <w:sz w:val="23"/>
                <w:szCs w:val="23"/>
                <w:vertAlign w:val="superscript"/>
                <w:lang w:bidi="ar"/>
              </w:rPr>
              <w:t>③</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kern w:val="0"/>
                <w:sz w:val="23"/>
                <w:szCs w:val="23"/>
                <w:lang w:bidi="ar"/>
              </w:rPr>
            </w:pPr>
            <w:r>
              <w:rPr>
                <w:rFonts w:ascii="宋体" w:hAnsi="宋体" w:cs="宋体"/>
                <w:color w:val="auto"/>
                <w:kern w:val="0"/>
                <w:sz w:val="23"/>
                <w:szCs w:val="23"/>
                <w:lang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vMerge w:val="restart"/>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rPr>
            </w:pPr>
            <w:r>
              <w:rPr>
                <w:rFonts w:ascii="宋体" w:hAnsi="宋体" w:cs="宋体"/>
                <w:color w:val="auto"/>
                <w:kern w:val="0"/>
                <w:sz w:val="23"/>
                <w:szCs w:val="23"/>
                <w:lang w:bidi="ar"/>
              </w:rPr>
              <w:t>优质服务</w:t>
            </w: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rPr>
            </w:pPr>
            <w:r>
              <w:rPr>
                <w:rFonts w:ascii="宋体" w:hAnsi="宋体" w:cs="宋体"/>
                <w:color w:val="auto"/>
                <w:kern w:val="0"/>
                <w:sz w:val="23"/>
                <w:szCs w:val="23"/>
                <w:lang w:bidi="ar"/>
              </w:rPr>
              <w:t>异地就医住院费用直接结算率</w:t>
            </w:r>
            <w:r>
              <w:rPr>
                <w:rFonts w:ascii="宋体" w:hAnsi="宋体" w:cs="宋体"/>
                <w:color w:val="auto"/>
                <w:kern w:val="0"/>
                <w:sz w:val="23"/>
                <w:szCs w:val="23"/>
                <w:vertAlign w:val="superscript"/>
                <w:lang w:bidi="ar"/>
              </w:rPr>
              <w:t>④</w:t>
            </w:r>
            <w:r>
              <w:rPr>
                <w:rFonts w:ascii="宋体" w:hAnsi="宋体" w:cs="宋体"/>
                <w:color w:val="auto"/>
                <w:kern w:val="0"/>
                <w:sz w:val="23"/>
                <w:szCs w:val="23"/>
                <w:lang w:bidi="ar"/>
              </w:rPr>
              <w:t>（%）</w:t>
            </w:r>
          </w:p>
        </w:tc>
        <w:tc>
          <w:tcPr>
            <w:tcW w:w="1048" w:type="dxa"/>
            <w:tcBorders>
              <w:tl2br w:val="nil"/>
              <w:tr2bl w:val="nil"/>
            </w:tcBorders>
            <w:shd w:val="clear" w:color="auto" w:fill="auto"/>
            <w:vAlign w:val="center"/>
          </w:tcPr>
          <w:p>
            <w:pPr>
              <w:jc w:val="center"/>
              <w:rPr>
                <w:rFonts w:hint="default" w:ascii="Times New Roman" w:hAnsi="Times New Roman" w:cs="Times New Roman"/>
                <w:color w:val="auto"/>
                <w:kern w:val="0"/>
                <w:sz w:val="23"/>
                <w:szCs w:val="23"/>
                <w:lang w:bidi="ar"/>
              </w:rPr>
            </w:pPr>
          </w:p>
        </w:tc>
        <w:tc>
          <w:tcPr>
            <w:tcW w:w="1913" w:type="dxa"/>
            <w:tcBorders>
              <w:tl2br w:val="nil"/>
              <w:tr2bl w:val="nil"/>
            </w:tcBorders>
            <w:shd w:val="clear" w:color="auto" w:fill="auto"/>
            <w:vAlign w:val="center"/>
          </w:tcPr>
          <w:p>
            <w:pPr>
              <w:jc w:val="center"/>
              <w:rPr>
                <w:rFonts w:hint="default" w:ascii="Times New Roman" w:hAnsi="Times New Roman" w:eastAsia="宋体" w:cs="Times New Roman"/>
                <w:color w:val="auto"/>
                <w:kern w:val="0"/>
                <w:sz w:val="23"/>
                <w:szCs w:val="23"/>
                <w:lang w:val="en-US" w:eastAsia="zh-CN" w:bidi="ar"/>
              </w:rPr>
            </w:pPr>
            <w:r>
              <w:rPr>
                <w:rFonts w:hint="default" w:ascii="Times New Roman" w:hAnsi="Times New Roman" w:cs="Times New Roman"/>
                <w:color w:val="auto"/>
                <w:kern w:val="0"/>
                <w:sz w:val="23"/>
                <w:szCs w:val="23"/>
                <w:lang w:bidi="ar"/>
              </w:rPr>
              <w:t>＞</w:t>
            </w:r>
            <w:r>
              <w:rPr>
                <w:rFonts w:hint="default" w:ascii="Times New Roman" w:hAnsi="Times New Roman" w:cs="Times New Roman"/>
                <w:color w:val="auto"/>
                <w:kern w:val="0"/>
                <w:sz w:val="23"/>
                <w:szCs w:val="23"/>
                <w:lang w:val="en-US" w:eastAsia="zh-CN" w:bidi="ar"/>
              </w:rPr>
              <w:t>70</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rPr>
            </w:pPr>
            <w:r>
              <w:rPr>
                <w:rFonts w:ascii="宋体" w:hAnsi="宋体" w:cs="宋体"/>
                <w:color w:val="auto"/>
                <w:kern w:val="0"/>
                <w:sz w:val="23"/>
                <w:szCs w:val="23"/>
                <w:lang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379" w:type="dxa"/>
            <w:vMerge w:val="continue"/>
            <w:tcBorders>
              <w:tl2br w:val="nil"/>
              <w:tr2bl w:val="nil"/>
            </w:tcBorders>
            <w:shd w:val="clear" w:color="auto" w:fill="auto"/>
            <w:vAlign w:val="center"/>
          </w:tcPr>
          <w:p>
            <w:pPr>
              <w:spacing w:line="300" w:lineRule="exact"/>
              <w:jc w:val="center"/>
              <w:rPr>
                <w:rFonts w:hint="default" w:ascii="宋体" w:hAnsi="宋体" w:cs="宋体"/>
                <w:color w:val="auto"/>
                <w:sz w:val="23"/>
                <w:szCs w:val="23"/>
              </w:rPr>
            </w:pP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rPr>
            </w:pPr>
            <w:r>
              <w:rPr>
                <w:rFonts w:ascii="宋体" w:hAnsi="宋体" w:cs="宋体"/>
                <w:color w:val="auto"/>
                <w:kern w:val="0"/>
                <w:sz w:val="23"/>
                <w:szCs w:val="23"/>
                <w:lang w:bidi="ar"/>
              </w:rPr>
              <w:t>医疗保障政务服务事项线上可办率（%）</w:t>
            </w:r>
          </w:p>
        </w:tc>
        <w:tc>
          <w:tcPr>
            <w:tcW w:w="1048" w:type="dxa"/>
            <w:tcBorders>
              <w:tl2br w:val="nil"/>
              <w:tr2bl w:val="nil"/>
            </w:tcBorders>
            <w:shd w:val="clear" w:color="auto" w:fill="auto"/>
            <w:vAlign w:val="center"/>
          </w:tcPr>
          <w:p>
            <w:pPr>
              <w:jc w:val="center"/>
              <w:rPr>
                <w:rFonts w:hint="default" w:ascii="宋体" w:hAnsi="宋体" w:cs="宋体"/>
                <w:color w:val="auto"/>
                <w:kern w:val="0"/>
                <w:sz w:val="23"/>
                <w:szCs w:val="23"/>
                <w:lang w:val="en-US" w:bidi="ar"/>
              </w:rPr>
            </w:pPr>
            <w:r>
              <w:rPr>
                <w:rFonts w:hint="eastAsia" w:ascii="Times New Roman" w:hAnsi="Times New Roman" w:cs="Times New Roman"/>
                <w:color w:val="auto"/>
                <w:sz w:val="22"/>
                <w:szCs w:val="22"/>
                <w:highlight w:val="none"/>
                <w:lang w:val="en-US" w:eastAsia="zh-CN"/>
              </w:rPr>
              <w:t>71</w:t>
            </w:r>
          </w:p>
        </w:tc>
        <w:tc>
          <w:tcPr>
            <w:tcW w:w="1913" w:type="dxa"/>
            <w:tcBorders>
              <w:tl2br w:val="nil"/>
              <w:tr2bl w:val="nil"/>
            </w:tcBorders>
            <w:shd w:val="clear" w:color="auto" w:fill="auto"/>
            <w:vAlign w:val="center"/>
          </w:tcPr>
          <w:p>
            <w:pPr>
              <w:jc w:val="center"/>
              <w:rPr>
                <w:rFonts w:hint="default" w:ascii="宋体" w:hAnsi="宋体" w:cs="宋体"/>
                <w:color w:val="auto"/>
                <w:kern w:val="0"/>
                <w:sz w:val="23"/>
                <w:szCs w:val="23"/>
                <w:lang w:bidi="ar"/>
              </w:rPr>
            </w:pPr>
            <w:r>
              <w:rPr>
                <w:rFonts w:hint="default" w:ascii="Times New Roman" w:hAnsi="Times New Roman" w:cs="Times New Roman"/>
                <w:color w:val="auto"/>
                <w:sz w:val="22"/>
                <w:szCs w:val="22"/>
                <w:lang w:val="en-US" w:eastAsia="zh-CN"/>
              </w:rPr>
              <w:t>90</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rPr>
            </w:pPr>
            <w:r>
              <w:rPr>
                <w:rFonts w:ascii="宋体" w:hAnsi="宋体" w:cs="宋体"/>
                <w:color w:val="auto"/>
                <w:kern w:val="0"/>
                <w:sz w:val="23"/>
                <w:szCs w:val="23"/>
                <w:lang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 w:hRule="atLeast"/>
          <w:jc w:val="center"/>
        </w:trPr>
        <w:tc>
          <w:tcPr>
            <w:tcW w:w="1379" w:type="dxa"/>
            <w:vMerge w:val="continue"/>
            <w:tcBorders>
              <w:tl2br w:val="nil"/>
              <w:tr2bl w:val="nil"/>
            </w:tcBorders>
            <w:shd w:val="clear" w:color="auto" w:fill="auto"/>
            <w:vAlign w:val="center"/>
          </w:tcPr>
          <w:p>
            <w:pPr>
              <w:spacing w:line="300" w:lineRule="exact"/>
              <w:jc w:val="center"/>
              <w:rPr>
                <w:rFonts w:hint="default" w:ascii="宋体" w:hAnsi="宋体" w:cs="宋体"/>
                <w:color w:val="auto"/>
                <w:sz w:val="23"/>
                <w:szCs w:val="23"/>
              </w:rPr>
            </w:pPr>
          </w:p>
        </w:tc>
        <w:tc>
          <w:tcPr>
            <w:tcW w:w="3927" w:type="dxa"/>
            <w:tcBorders>
              <w:tl2br w:val="nil"/>
              <w:tr2bl w:val="nil"/>
            </w:tcBorders>
            <w:shd w:val="clear" w:color="auto" w:fill="auto"/>
            <w:vAlign w:val="center"/>
          </w:tcPr>
          <w:p>
            <w:pPr>
              <w:widowControl/>
              <w:spacing w:line="300" w:lineRule="exact"/>
              <w:jc w:val="left"/>
              <w:textAlignment w:val="center"/>
              <w:rPr>
                <w:rFonts w:hint="default" w:ascii="宋体" w:hAnsi="宋体" w:cs="宋体"/>
                <w:color w:val="auto"/>
                <w:sz w:val="23"/>
                <w:szCs w:val="23"/>
              </w:rPr>
            </w:pPr>
            <w:r>
              <w:rPr>
                <w:rFonts w:ascii="宋体" w:hAnsi="宋体" w:cs="宋体"/>
                <w:color w:val="auto"/>
                <w:kern w:val="0"/>
                <w:sz w:val="23"/>
                <w:szCs w:val="23"/>
                <w:lang w:bidi="ar"/>
              </w:rPr>
              <w:t>医疗保障政务服务事项窗口可办率（%）</w:t>
            </w:r>
          </w:p>
        </w:tc>
        <w:tc>
          <w:tcPr>
            <w:tcW w:w="1048" w:type="dxa"/>
            <w:tcBorders>
              <w:tl2br w:val="nil"/>
              <w:tr2bl w:val="nil"/>
            </w:tcBorders>
            <w:shd w:val="clear" w:color="auto" w:fill="auto"/>
            <w:vAlign w:val="center"/>
          </w:tcPr>
          <w:p>
            <w:pPr>
              <w:jc w:val="center"/>
              <w:rPr>
                <w:rFonts w:hint="default" w:ascii="宋体" w:hAnsi="宋体" w:cs="宋体"/>
                <w:color w:val="auto"/>
                <w:kern w:val="0"/>
                <w:sz w:val="23"/>
                <w:szCs w:val="23"/>
                <w:lang w:bidi="ar"/>
              </w:rPr>
            </w:pPr>
            <w:r>
              <w:rPr>
                <w:rFonts w:hint="default" w:ascii="Times New Roman" w:hAnsi="Times New Roman" w:cs="Times New Roman"/>
                <w:color w:val="auto"/>
                <w:sz w:val="22"/>
                <w:szCs w:val="22"/>
                <w:lang w:val="en-US" w:eastAsia="zh-CN"/>
              </w:rPr>
              <w:t>100</w:t>
            </w:r>
          </w:p>
        </w:tc>
        <w:tc>
          <w:tcPr>
            <w:tcW w:w="1913" w:type="dxa"/>
            <w:tcBorders>
              <w:tl2br w:val="nil"/>
              <w:tr2bl w:val="nil"/>
            </w:tcBorders>
            <w:shd w:val="clear" w:color="auto" w:fill="auto"/>
            <w:vAlign w:val="center"/>
          </w:tcPr>
          <w:p>
            <w:pPr>
              <w:jc w:val="center"/>
              <w:rPr>
                <w:rFonts w:hint="default" w:ascii="宋体" w:hAnsi="宋体" w:cs="宋体"/>
                <w:color w:val="auto"/>
                <w:kern w:val="0"/>
                <w:sz w:val="23"/>
                <w:szCs w:val="23"/>
                <w:lang w:bidi="ar"/>
              </w:rPr>
            </w:pPr>
            <w:r>
              <w:rPr>
                <w:rFonts w:hint="default" w:ascii="Times New Roman" w:hAnsi="Times New Roman" w:cs="Times New Roman"/>
                <w:color w:val="auto"/>
                <w:sz w:val="22"/>
                <w:szCs w:val="22"/>
                <w:lang w:val="en-US" w:eastAsia="zh-CN"/>
              </w:rPr>
              <w:t>100</w:t>
            </w:r>
          </w:p>
        </w:tc>
        <w:tc>
          <w:tcPr>
            <w:tcW w:w="1236" w:type="dxa"/>
            <w:tcBorders>
              <w:tl2br w:val="nil"/>
              <w:tr2bl w:val="nil"/>
            </w:tcBorders>
            <w:shd w:val="clear" w:color="auto" w:fill="auto"/>
            <w:vAlign w:val="center"/>
          </w:tcPr>
          <w:p>
            <w:pPr>
              <w:widowControl/>
              <w:spacing w:line="300" w:lineRule="exact"/>
              <w:jc w:val="center"/>
              <w:textAlignment w:val="center"/>
              <w:rPr>
                <w:rFonts w:hint="default" w:ascii="宋体" w:hAnsi="宋体" w:cs="宋体"/>
                <w:color w:val="auto"/>
                <w:sz w:val="23"/>
                <w:szCs w:val="23"/>
              </w:rPr>
            </w:pPr>
            <w:r>
              <w:rPr>
                <w:rFonts w:ascii="宋体" w:hAnsi="宋体" w:cs="宋体"/>
                <w:color w:val="auto"/>
                <w:kern w:val="0"/>
                <w:sz w:val="23"/>
                <w:szCs w:val="23"/>
                <w:lang w:bidi="ar"/>
              </w:rPr>
              <w:t>约束性</w:t>
            </w:r>
          </w:p>
        </w:tc>
      </w:tr>
    </w:tbl>
    <w:p>
      <w:pPr>
        <w:pStyle w:val="8"/>
        <w:widowControl/>
        <w:snapToGrid w:val="0"/>
        <w:spacing w:beforeAutospacing="0" w:afterAutospacing="0"/>
        <w:rPr>
          <w:rFonts w:hint="default" w:ascii="楷体" w:hAnsi="楷体" w:eastAsia="楷体" w:cs="楷体"/>
          <w:color w:val="auto"/>
          <w:sz w:val="22"/>
          <w:szCs w:val="22"/>
        </w:rPr>
      </w:pPr>
      <w:r>
        <w:rPr>
          <w:rFonts w:ascii="楷体" w:hAnsi="楷体" w:eastAsia="楷体" w:cs="楷体"/>
          <w:color w:val="auto"/>
          <w:sz w:val="22"/>
          <w:szCs w:val="22"/>
        </w:rPr>
        <w:t>注：①指“十四五”期间基本医疗保险参保率每年保持在95%以上。 </w:t>
      </w:r>
    </w:p>
    <w:p>
      <w:pPr>
        <w:pStyle w:val="8"/>
        <w:widowControl/>
        <w:snapToGrid w:val="0"/>
        <w:spacing w:beforeAutospacing="0" w:afterAutospacing="0"/>
        <w:ind w:firstLine="440" w:firstLineChars="200"/>
        <w:jc w:val="both"/>
        <w:rPr>
          <w:rFonts w:hint="default" w:ascii="楷体" w:hAnsi="楷体" w:eastAsia="楷体" w:cs="楷体"/>
          <w:color w:val="auto"/>
          <w:sz w:val="22"/>
          <w:szCs w:val="22"/>
        </w:rPr>
      </w:pPr>
      <w:r>
        <w:rPr>
          <w:rFonts w:ascii="楷体" w:hAnsi="楷体" w:eastAsia="楷体" w:cs="楷体"/>
          <w:color w:val="auto"/>
          <w:sz w:val="22"/>
          <w:szCs w:val="22"/>
        </w:rPr>
        <w:t>②指到2025年本省国家和省级药品集中带量采购品种达500个以上。</w:t>
      </w:r>
    </w:p>
    <w:p>
      <w:pPr>
        <w:pStyle w:val="8"/>
        <w:widowControl/>
        <w:snapToGrid w:val="0"/>
        <w:spacing w:beforeAutospacing="0" w:afterAutospacing="0"/>
        <w:ind w:firstLine="440" w:firstLineChars="200"/>
        <w:jc w:val="both"/>
        <w:rPr>
          <w:rFonts w:hint="default" w:ascii="楷体" w:hAnsi="楷体" w:eastAsia="楷体" w:cs="楷体"/>
          <w:color w:val="auto"/>
          <w:sz w:val="22"/>
          <w:szCs w:val="22"/>
        </w:rPr>
      </w:pPr>
      <w:r>
        <w:rPr>
          <w:rFonts w:ascii="楷体" w:hAnsi="楷体" w:eastAsia="楷体" w:cs="楷体"/>
          <w:color w:val="auto"/>
          <w:sz w:val="22"/>
          <w:szCs w:val="22"/>
        </w:rPr>
        <w:t>③指到2025年本省国家和省级高值医用耗材集中带量采购品种达5类以上。 </w:t>
      </w:r>
    </w:p>
    <w:p>
      <w:pPr>
        <w:pStyle w:val="8"/>
        <w:widowControl/>
        <w:snapToGrid w:val="0"/>
        <w:spacing w:beforeAutospacing="0" w:afterAutospacing="0"/>
        <w:ind w:firstLine="440" w:firstLineChars="200"/>
        <w:rPr>
          <w:rFonts w:hint="default" w:ascii="楷体" w:hAnsi="楷体" w:eastAsia="楷体" w:cs="楷体"/>
          <w:color w:val="auto"/>
          <w:sz w:val="22"/>
          <w:szCs w:val="22"/>
        </w:rPr>
      </w:pPr>
      <w:r>
        <w:rPr>
          <w:rFonts w:ascii="楷体" w:hAnsi="楷体" w:eastAsia="楷体" w:cs="楷体"/>
          <w:color w:val="auto"/>
          <w:sz w:val="22"/>
          <w:szCs w:val="22"/>
        </w:rPr>
        <w:t>④指异地就医住院费用直接结算人次占全部住院异地就医人次的比例。</w:t>
      </w:r>
    </w:p>
    <w:p>
      <w:pPr>
        <w:pStyle w:val="14"/>
        <w:snapToGrid w:val="0"/>
        <w:spacing w:line="360" w:lineRule="auto"/>
        <w:ind w:firstLine="800" w:firstLineChars="200"/>
        <w:jc w:val="center"/>
        <w:outlineLvl w:val="9"/>
        <w:rPr>
          <w:rFonts w:hint="eastAsia" w:ascii="方正黑体_GBK" w:hAnsi="方正黑体_GBK" w:eastAsia="方正黑体_GBK" w:cs="方正黑体_GBK"/>
          <w:color w:val="auto"/>
          <w:kern w:val="2"/>
          <w:sz w:val="40"/>
          <w:szCs w:val="40"/>
        </w:rPr>
      </w:pPr>
    </w:p>
    <w:p>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b/>
          <w:bCs/>
          <w:color w:val="auto"/>
          <w:kern w:val="2"/>
          <w:sz w:val="32"/>
          <w:szCs w:val="32"/>
          <w:lang w:val="en-US" w:eastAsia="zh-CN"/>
        </w:rPr>
      </w:pPr>
      <w:bookmarkStart w:id="15" w:name="_Toc26294"/>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outlineLvl w:val="0"/>
        <w:rPr>
          <w:rFonts w:hint="eastAsia" w:ascii="方正黑体_GBK" w:hAnsi="方正黑体_GBK" w:eastAsia="方正黑体_GBK" w:cs="方正黑体_GBK"/>
          <w:b w:val="0"/>
          <w:bCs w:val="0"/>
          <w:color w:val="auto"/>
          <w:kern w:val="2"/>
          <w:sz w:val="32"/>
          <w:szCs w:val="32"/>
          <w:lang w:eastAsia="zh-CN"/>
        </w:rPr>
      </w:pPr>
      <w:bookmarkStart w:id="16" w:name="_Toc26259"/>
      <w:r>
        <w:rPr>
          <w:rFonts w:hint="eastAsia" w:ascii="方正黑体_GBK" w:hAnsi="方正黑体_GBK" w:eastAsia="方正黑体_GBK" w:cs="方正黑体_GBK"/>
          <w:b w:val="0"/>
          <w:bCs w:val="0"/>
          <w:color w:val="auto"/>
          <w:kern w:val="2"/>
          <w:sz w:val="32"/>
          <w:szCs w:val="32"/>
          <w:lang w:val="en-US" w:eastAsia="zh-CN"/>
        </w:rPr>
        <w:t>三、</w:t>
      </w:r>
      <w:r>
        <w:rPr>
          <w:rFonts w:hint="eastAsia" w:ascii="方正黑体_GBK" w:hAnsi="方正黑体_GBK" w:eastAsia="方正黑体_GBK" w:cs="方正黑体_GBK"/>
          <w:b w:val="0"/>
          <w:bCs w:val="0"/>
          <w:color w:val="auto"/>
          <w:kern w:val="2"/>
          <w:sz w:val="32"/>
          <w:szCs w:val="32"/>
          <w:lang w:eastAsia="zh-CN"/>
        </w:rPr>
        <w:t>重点任务</w:t>
      </w:r>
      <w:bookmarkEnd w:id="15"/>
      <w:bookmarkEnd w:id="16"/>
    </w:p>
    <w:p>
      <w:pPr>
        <w:pStyle w:val="3"/>
        <w:spacing w:beforeAutospacing="0" w:afterAutospacing="0"/>
        <w:ind w:firstLine="643" w:firstLineChars="200"/>
        <w:jc w:val="both"/>
        <w:rPr>
          <w:rFonts w:hint="eastAsia" w:ascii="方正楷体_GBK" w:hAnsi="方正楷体_GBK" w:eastAsia="方正楷体_GBK" w:cs="方正楷体_GBK"/>
          <w:color w:val="auto"/>
          <w:sz w:val="32"/>
          <w:szCs w:val="32"/>
          <w:lang w:val="en-US" w:eastAsia="zh-CN"/>
        </w:rPr>
      </w:pPr>
      <w:bookmarkStart w:id="17" w:name="_Toc10574"/>
      <w:bookmarkStart w:id="18" w:name="_Toc8532"/>
      <w:r>
        <w:rPr>
          <w:rFonts w:hint="eastAsia" w:ascii="方正楷体_GBK" w:hAnsi="方正楷体_GBK" w:eastAsia="方正楷体_GBK" w:cs="方正楷体_GBK"/>
          <w:color w:val="auto"/>
          <w:sz w:val="32"/>
          <w:szCs w:val="32"/>
          <w:lang w:val="en-US" w:eastAsia="zh-CN"/>
        </w:rPr>
        <w:t>（一）健全多层次医疗保障制度体系</w:t>
      </w:r>
      <w:bookmarkEnd w:id="17"/>
      <w:bookmarkEnd w:id="18"/>
    </w:p>
    <w:p>
      <w:pPr>
        <w:numPr>
          <w:ilvl w:val="0"/>
          <w:numId w:val="0"/>
        </w:numPr>
        <w:ind w:firstLine="643" w:firstLineChars="200"/>
        <w:rPr>
          <w:rFonts w:hint="eastAsia" w:ascii="仿宋" w:hAnsi="仿宋" w:eastAsia="仿宋" w:cs="仿宋"/>
          <w:b/>
          <w:bCs/>
          <w:i w:val="0"/>
          <w:iCs w:val="0"/>
          <w:caps w:val="0"/>
          <w:color w:val="auto"/>
          <w:spacing w:val="0"/>
          <w:sz w:val="32"/>
          <w:szCs w:val="32"/>
          <w:shd w:val="clear"/>
        </w:rPr>
      </w:pPr>
      <w:bookmarkStart w:id="19" w:name="_Toc24233"/>
      <w:bookmarkStart w:id="20" w:name="_Toc29457"/>
      <w:bookmarkStart w:id="21" w:name="_Toc10041"/>
      <w:r>
        <w:rPr>
          <w:rFonts w:hint="eastAsia" w:ascii="仿宋" w:hAnsi="仿宋" w:eastAsia="仿宋" w:cs="仿宋"/>
          <w:b/>
          <w:bCs/>
          <w:i w:val="0"/>
          <w:iCs w:val="0"/>
          <w:caps w:val="0"/>
          <w:color w:val="auto"/>
          <w:spacing w:val="0"/>
          <w:sz w:val="32"/>
          <w:szCs w:val="32"/>
          <w:shd w:val="clear"/>
          <w:lang w:val="en-US" w:eastAsia="zh-CN"/>
        </w:rPr>
        <w:t>1、</w:t>
      </w:r>
      <w:r>
        <w:rPr>
          <w:rFonts w:hint="eastAsia" w:ascii="仿宋" w:hAnsi="仿宋" w:eastAsia="仿宋" w:cs="仿宋"/>
          <w:b/>
          <w:bCs/>
          <w:i w:val="0"/>
          <w:iCs w:val="0"/>
          <w:caps w:val="0"/>
          <w:color w:val="auto"/>
          <w:spacing w:val="0"/>
          <w:sz w:val="32"/>
          <w:szCs w:val="32"/>
          <w:shd w:val="clear"/>
        </w:rPr>
        <w:t>提高基本</w:t>
      </w:r>
      <w:r>
        <w:rPr>
          <w:rFonts w:hint="eastAsia" w:ascii="仿宋" w:hAnsi="仿宋" w:eastAsia="仿宋" w:cs="仿宋"/>
          <w:b/>
          <w:bCs/>
          <w:i w:val="0"/>
          <w:iCs w:val="0"/>
          <w:caps w:val="0"/>
          <w:color w:val="auto"/>
          <w:spacing w:val="0"/>
          <w:sz w:val="32"/>
          <w:szCs w:val="32"/>
          <w:shd w:val="clear"/>
          <w:lang w:val="en-US" w:eastAsia="zh-CN"/>
        </w:rPr>
        <w:t>医疗保险</w:t>
      </w:r>
      <w:r>
        <w:rPr>
          <w:rFonts w:hint="eastAsia" w:ascii="仿宋" w:hAnsi="仿宋" w:eastAsia="仿宋" w:cs="仿宋"/>
          <w:b/>
          <w:bCs/>
          <w:i w:val="0"/>
          <w:iCs w:val="0"/>
          <w:caps w:val="0"/>
          <w:color w:val="auto"/>
          <w:spacing w:val="0"/>
          <w:sz w:val="32"/>
          <w:szCs w:val="32"/>
          <w:shd w:val="clear"/>
        </w:rPr>
        <w:t>参保质量</w:t>
      </w:r>
    </w:p>
    <w:p>
      <w:pPr>
        <w:numPr>
          <w:ilvl w:val="0"/>
          <w:numId w:val="0"/>
        </w:numPr>
        <w:ind w:firstLine="643" w:firstLineChars="200"/>
        <w:rPr>
          <w:rFonts w:hint="eastAsia" w:ascii="仿宋" w:hAnsi="仿宋" w:eastAsia="仿宋" w:cs="仿宋"/>
          <w:i w:val="0"/>
          <w:iCs w:val="0"/>
          <w:caps w:val="0"/>
          <w:color w:val="auto"/>
          <w:spacing w:val="0"/>
          <w:sz w:val="32"/>
          <w:szCs w:val="32"/>
          <w:shd w:val="clear"/>
          <w:lang w:eastAsia="zh-CN"/>
        </w:rPr>
      </w:pPr>
      <w:r>
        <w:rPr>
          <w:rFonts w:hint="eastAsia" w:ascii="仿宋" w:hAnsi="仿宋" w:eastAsia="仿宋" w:cs="仿宋"/>
          <w:b/>
          <w:bCs/>
          <w:i w:val="0"/>
          <w:iCs w:val="0"/>
          <w:caps w:val="0"/>
          <w:color w:val="auto"/>
          <w:spacing w:val="0"/>
          <w:sz w:val="32"/>
          <w:szCs w:val="32"/>
          <w:shd w:val="clear"/>
          <w:lang w:eastAsia="zh-CN"/>
        </w:rPr>
        <w:t>合理设定参保扩面目标。</w:t>
      </w:r>
      <w:r>
        <w:rPr>
          <w:rFonts w:hint="eastAsia" w:ascii="仿宋" w:hAnsi="仿宋" w:eastAsia="仿宋" w:cs="仿宋"/>
          <w:i w:val="0"/>
          <w:iCs w:val="0"/>
          <w:caps w:val="0"/>
          <w:color w:val="auto"/>
          <w:spacing w:val="0"/>
          <w:sz w:val="32"/>
          <w:szCs w:val="32"/>
          <w:shd w:val="clear"/>
          <w:lang w:eastAsia="zh-CN"/>
        </w:rPr>
        <w:t>根据本地区常住人口、户籍人口、就业人口、城镇化率等指标，科学合理确定年度参保扩面目标。职工基本医疗保险逐步以本地区劳动就业人口作为参保扩面对象，城乡居民基本医疗保险逐步实现以本地区非就业居民为参保扩面对象。落实全民参保计划，进一步落实持居住证参保政策，积极推动职工和城乡居民在常住地、就业地参保，</w:t>
      </w:r>
      <w:r>
        <w:rPr>
          <w:rFonts w:hint="eastAsia" w:ascii="仿宋" w:hAnsi="仿宋" w:eastAsia="仿宋" w:cs="仿宋"/>
          <w:i w:val="0"/>
          <w:iCs w:val="0"/>
          <w:caps w:val="0"/>
          <w:color w:val="auto"/>
          <w:spacing w:val="0"/>
          <w:sz w:val="32"/>
          <w:szCs w:val="32"/>
          <w:shd w:val="clear"/>
          <w:lang w:val="en-US" w:eastAsia="zh-CN"/>
        </w:rPr>
        <w:t>加强部门数据共享和人员信息比对，建立本地参保数据库，实现参保信息实时动态管理，</w:t>
      </w:r>
      <w:r>
        <w:rPr>
          <w:rFonts w:hint="eastAsia" w:ascii="仿宋" w:hAnsi="仿宋" w:eastAsia="仿宋" w:cs="仿宋"/>
          <w:i w:val="0"/>
          <w:iCs w:val="0"/>
          <w:caps w:val="0"/>
          <w:color w:val="auto"/>
          <w:spacing w:val="0"/>
          <w:sz w:val="32"/>
          <w:szCs w:val="32"/>
          <w:shd w:val="clear"/>
          <w:lang w:eastAsia="zh-CN"/>
        </w:rPr>
        <w:t>避免重复参保，</w:t>
      </w:r>
      <w:r>
        <w:rPr>
          <w:rFonts w:hint="eastAsia" w:ascii="仿宋" w:hAnsi="仿宋" w:eastAsia="仿宋" w:cs="仿宋"/>
          <w:i w:val="0"/>
          <w:iCs w:val="0"/>
          <w:caps w:val="0"/>
          <w:color w:val="auto"/>
          <w:spacing w:val="0"/>
          <w:sz w:val="32"/>
          <w:szCs w:val="32"/>
          <w:shd w:val="clear"/>
          <w:lang w:val="en-US" w:eastAsia="zh-CN"/>
        </w:rPr>
        <w:t>稳妥清理重复参保，</w:t>
      </w:r>
      <w:r>
        <w:rPr>
          <w:rFonts w:hint="eastAsia" w:ascii="仿宋" w:hAnsi="仿宋" w:eastAsia="仿宋" w:cs="仿宋"/>
          <w:i w:val="0"/>
          <w:iCs w:val="0"/>
          <w:caps w:val="0"/>
          <w:color w:val="auto"/>
          <w:spacing w:val="0"/>
          <w:sz w:val="32"/>
          <w:szCs w:val="32"/>
          <w:shd w:val="clear"/>
        </w:rPr>
        <w:t>到2025年基本医保参保率稳中有升</w:t>
      </w:r>
      <w:r>
        <w:rPr>
          <w:rFonts w:hint="eastAsia" w:ascii="仿宋" w:hAnsi="仿宋" w:eastAsia="仿宋" w:cs="仿宋"/>
          <w:i w:val="0"/>
          <w:iCs w:val="0"/>
          <w:caps w:val="0"/>
          <w:color w:val="auto"/>
          <w:spacing w:val="0"/>
          <w:sz w:val="32"/>
          <w:szCs w:val="32"/>
          <w:shd w:val="clear"/>
          <w:lang w:eastAsia="zh-CN"/>
        </w:rPr>
        <w:t>。</w:t>
      </w:r>
    </w:p>
    <w:p>
      <w:pPr>
        <w:numPr>
          <w:ilvl w:val="0"/>
          <w:numId w:val="0"/>
        </w:numPr>
        <w:ind w:firstLine="643" w:firstLineChars="200"/>
        <w:rPr>
          <w:rFonts w:hint="default" w:ascii="Times New Roman" w:hAnsi="Times New Roman" w:eastAsia="仿宋_GB2312"/>
          <w:color w:val="auto"/>
          <w:sz w:val="32"/>
          <w:szCs w:val="32"/>
        </w:rPr>
      </w:pPr>
      <w:r>
        <w:rPr>
          <w:rFonts w:hint="eastAsia" w:ascii="仿宋" w:hAnsi="仿宋" w:eastAsia="仿宋" w:cs="仿宋"/>
          <w:b/>
          <w:bCs/>
          <w:i w:val="0"/>
          <w:iCs w:val="0"/>
          <w:caps w:val="0"/>
          <w:color w:val="auto"/>
          <w:spacing w:val="0"/>
          <w:sz w:val="32"/>
          <w:szCs w:val="32"/>
          <w:shd w:val="clear"/>
          <w:lang w:val="en-US" w:eastAsia="zh-CN"/>
        </w:rPr>
        <w:t>依法依规实行分类参保。</w:t>
      </w:r>
      <w:r>
        <w:rPr>
          <w:rFonts w:hint="default" w:ascii="Times New Roman" w:hAnsi="Times New Roman" w:eastAsia="仿宋_GB2312"/>
          <w:color w:val="auto"/>
          <w:sz w:val="32"/>
          <w:szCs w:val="32"/>
        </w:rPr>
        <w:t>用人单位和职工依法</w:t>
      </w:r>
      <w:r>
        <w:rPr>
          <w:rFonts w:ascii="Times New Roman" w:hAnsi="Times New Roman" w:eastAsia="仿宋_GB2312"/>
          <w:color w:val="auto"/>
          <w:sz w:val="32"/>
          <w:szCs w:val="32"/>
        </w:rPr>
        <w:t>依规</w:t>
      </w:r>
      <w:r>
        <w:rPr>
          <w:rFonts w:hint="default" w:ascii="Times New Roman" w:hAnsi="Times New Roman" w:eastAsia="仿宋_GB2312"/>
          <w:color w:val="auto"/>
          <w:sz w:val="32"/>
          <w:szCs w:val="32"/>
        </w:rPr>
        <w:t>参加基本医疗保险，引导非从业人员依法参加城乡居民基本医疗保险。灵活就业人员可根据自身实际，以合适方式参加基本医疗保险。完善灵活就业人员参保缴费方式，放开对灵活就业人员参保的户籍限制。落实困难群众分类资助参保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both"/>
        <w:rPr>
          <w:rFonts w:ascii="Times New Roman" w:hAnsi="Times New Roman" w:eastAsia="仿宋_GB2312" w:cs="Times New Roman"/>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持续</w:t>
      </w:r>
      <w:r>
        <w:rPr>
          <w:rFonts w:hint="default" w:ascii="仿宋" w:hAnsi="仿宋" w:eastAsia="仿宋" w:cs="仿宋"/>
          <w:b/>
          <w:bCs/>
          <w:color w:val="auto"/>
          <w:kern w:val="2"/>
          <w:sz w:val="32"/>
          <w:szCs w:val="32"/>
          <w:lang w:val="en-US" w:eastAsia="zh-CN" w:bidi="ar-SA"/>
        </w:rPr>
        <w:t>优化参保缴费服务。</w:t>
      </w:r>
      <w:r>
        <w:rPr>
          <w:rFonts w:hint="default" w:ascii="Times New Roman" w:hAnsi="Times New Roman" w:eastAsia="仿宋_GB2312" w:cs="Times New Roman"/>
          <w:b w:val="0"/>
          <w:bCs w:val="0"/>
          <w:color w:val="auto"/>
          <w:kern w:val="2"/>
          <w:sz w:val="32"/>
          <w:szCs w:val="32"/>
          <w:lang w:val="en-US" w:eastAsia="zh-CN" w:bidi="ar-SA"/>
        </w:rPr>
        <w:t>利用国家统一医保信息平台基础信息管理子系统实时核对功能，及时查询参保人缴费状态，联合税务部门完善参保缴费服务，减少重复参保缴费。加大参保缴费宣传引导力度，</w:t>
      </w:r>
      <w:r>
        <w:rPr>
          <w:rFonts w:hint="eastAsia" w:ascii="Times New Roman" w:hAnsi="Times New Roman" w:eastAsia="仿宋_GB2312" w:cs="Times New Roman"/>
          <w:b w:val="0"/>
          <w:bCs w:val="0"/>
          <w:color w:val="auto"/>
          <w:kern w:val="2"/>
          <w:sz w:val="32"/>
          <w:szCs w:val="32"/>
          <w:lang w:val="en-US" w:eastAsia="zh-CN" w:bidi="ar-SA"/>
        </w:rPr>
        <w:t>拓展缴费途径，通过微信公众号、支付宝小程序、皖事通办平台等渠道，坚持线上与线下结合，</w:t>
      </w:r>
      <w:r>
        <w:rPr>
          <w:rFonts w:hint="default" w:ascii="Times New Roman" w:hAnsi="Times New Roman" w:eastAsia="仿宋_GB2312" w:cs="Times New Roman"/>
          <w:b w:val="0"/>
          <w:bCs w:val="0"/>
          <w:color w:val="auto"/>
          <w:kern w:val="2"/>
          <w:sz w:val="32"/>
          <w:szCs w:val="32"/>
          <w:lang w:val="en-US" w:eastAsia="zh-CN" w:bidi="ar-SA"/>
        </w:rPr>
        <w:t>推动服务向基层下沉，提升服务</w:t>
      </w:r>
      <w:r>
        <w:rPr>
          <w:rFonts w:hint="eastAsia" w:ascii="Times New Roman" w:hAnsi="Times New Roman" w:eastAsia="仿宋_GB2312" w:cs="Times New Roman"/>
          <w:b w:val="0"/>
          <w:bCs w:val="0"/>
          <w:color w:val="auto"/>
          <w:kern w:val="2"/>
          <w:sz w:val="32"/>
          <w:szCs w:val="32"/>
          <w:lang w:val="en-US" w:eastAsia="zh-CN" w:bidi="ar-SA"/>
        </w:rPr>
        <w:t>多样性、</w:t>
      </w:r>
      <w:r>
        <w:rPr>
          <w:rFonts w:hint="default" w:ascii="Times New Roman" w:hAnsi="Times New Roman" w:eastAsia="仿宋_GB2312" w:cs="Times New Roman"/>
          <w:b w:val="0"/>
          <w:bCs w:val="0"/>
          <w:color w:val="auto"/>
          <w:kern w:val="2"/>
          <w:sz w:val="32"/>
          <w:szCs w:val="32"/>
          <w:lang w:val="en-US" w:eastAsia="zh-CN" w:bidi="ar-SA"/>
        </w:rPr>
        <w:t>便利性。</w:t>
      </w:r>
      <w:r>
        <w:rPr>
          <w:rFonts w:hint="default" w:ascii="Times New Roman" w:hAnsi="Times New Roman" w:eastAsia="仿宋_GB2312" w:cs="Times New Roman"/>
          <w:color w:val="auto"/>
          <w:kern w:val="2"/>
          <w:sz w:val="32"/>
          <w:szCs w:val="32"/>
          <w:lang w:val="en-US" w:eastAsia="zh-CN" w:bidi="ar-SA"/>
        </w:rPr>
        <w:t>做好跨统筹地区参保人员基本医疗保险关系转移接续工作。</w:t>
      </w:r>
    </w:p>
    <w:p>
      <w:pPr>
        <w:pStyle w:val="2"/>
        <w:ind w:left="0" w:leftChars="0" w:firstLine="0" w:firstLineChars="0"/>
        <w:rPr>
          <w:rFonts w:hint="default"/>
          <w:color w:val="auto"/>
        </w:rPr>
      </w:pPr>
    </w:p>
    <w:p>
      <w:pPr>
        <w:numPr>
          <w:ilvl w:val="0"/>
          <w:numId w:val="3"/>
        </w:num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完善</w:t>
      </w:r>
      <w:r>
        <w:rPr>
          <w:rFonts w:hint="eastAsia" w:ascii="仿宋" w:hAnsi="仿宋" w:eastAsia="仿宋" w:cs="仿宋"/>
          <w:b/>
          <w:bCs/>
          <w:color w:val="auto"/>
          <w:sz w:val="32"/>
          <w:szCs w:val="32"/>
          <w:lang w:val="en-US" w:eastAsia="zh-CN"/>
        </w:rPr>
        <w:t>基本医保待遇保障机制</w:t>
      </w:r>
      <w:r>
        <w:rPr>
          <w:rFonts w:hint="eastAsia" w:ascii="仿宋" w:hAnsi="仿宋" w:eastAsia="仿宋" w:cs="仿宋"/>
          <w:b/>
          <w:bCs/>
          <w:color w:val="auto"/>
          <w:sz w:val="32"/>
          <w:szCs w:val="32"/>
        </w:rPr>
        <w:t>相关制度</w:t>
      </w:r>
    </w:p>
    <w:p>
      <w:pPr>
        <w:numPr>
          <w:ilvl w:val="-1"/>
          <w:numId w:val="0"/>
        </w:numPr>
        <w:ind w:firstLine="643"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仿宋" w:hAnsi="仿宋" w:eastAsia="仿宋" w:cs="仿宋"/>
          <w:b/>
          <w:bCs/>
          <w:color w:val="auto"/>
          <w:kern w:val="2"/>
          <w:sz w:val="32"/>
          <w:szCs w:val="32"/>
        </w:rPr>
        <w:t>实行公平适度待遇保障。</w:t>
      </w:r>
      <w:r>
        <w:rPr>
          <w:rFonts w:hint="eastAsia" w:ascii="Times New Roman" w:hAnsi="Times New Roman" w:eastAsia="仿宋_GB2312" w:cs="Times New Roman"/>
          <w:b w:val="0"/>
          <w:bCs w:val="0"/>
          <w:color w:val="auto"/>
          <w:kern w:val="2"/>
          <w:sz w:val="32"/>
          <w:szCs w:val="32"/>
          <w:lang w:val="en-US" w:eastAsia="zh-CN" w:bidi="ar-SA"/>
        </w:rPr>
        <w:t>落实职工和城乡居民分类保障，</w:t>
      </w:r>
      <w:r>
        <w:rPr>
          <w:rFonts w:hint="eastAsia" w:ascii="仿宋_GB2312" w:hAnsi="仿宋_GB2312" w:eastAsia="仿宋_GB2312" w:cs="仿宋_GB2312"/>
          <w:sz w:val="32"/>
          <w:szCs w:val="32"/>
        </w:rPr>
        <w:t>将待遇与缴费、居民人均可支配收入、医疗卫生费用支出、医疗机构技术等级等因素挂钩，</w:t>
      </w:r>
      <w:r>
        <w:rPr>
          <w:rFonts w:hint="eastAsia" w:ascii="Times New Roman" w:hAnsi="Times New Roman" w:eastAsia="仿宋_GB2312" w:cs="Times New Roman"/>
          <w:b w:val="0"/>
          <w:bCs w:val="0"/>
          <w:color w:val="auto"/>
          <w:kern w:val="2"/>
          <w:sz w:val="32"/>
          <w:szCs w:val="32"/>
          <w:lang w:val="en-US" w:eastAsia="zh-CN" w:bidi="ar-SA"/>
        </w:rPr>
        <w:t>根据本地经济社会发展水平和基金承受能力，职工医保、城乡居民医保政策范围内住院费用报销比例分别稳定在80%、70%左右，政策范围内门诊费用报销比例稳定在50%以上，</w:t>
      </w:r>
      <w:r>
        <w:rPr>
          <w:rFonts w:hint="eastAsia" w:ascii="仿宋_GB2312" w:hAnsi="仿宋_GB2312" w:eastAsia="仿宋_GB2312" w:cs="仿宋_GB2312"/>
          <w:sz w:val="32"/>
          <w:szCs w:val="32"/>
        </w:rPr>
        <w:t>健全可持续的待遇动态调整机制</w:t>
      </w:r>
      <w:r>
        <w:rPr>
          <w:rFonts w:hint="eastAsia" w:ascii="Times New Roman" w:hAnsi="Times New Roman" w:eastAsia="仿宋_GB2312" w:cs="Times New Roman"/>
          <w:b w:val="0"/>
          <w:bCs w:val="0"/>
          <w:color w:val="auto"/>
          <w:kern w:val="2"/>
          <w:sz w:val="32"/>
          <w:szCs w:val="32"/>
          <w:lang w:val="en-US" w:eastAsia="zh-CN" w:bidi="ar-SA"/>
        </w:rPr>
        <w:t>，做好门诊待遇和住院待遇的统筹衔接。</w:t>
      </w:r>
      <w:r>
        <w:rPr>
          <w:rFonts w:hint="eastAsia" w:ascii="仿宋_GB2312" w:hAnsi="仿宋_GB2312" w:eastAsia="仿宋_GB2312" w:cs="仿宋_GB2312"/>
          <w:sz w:val="32"/>
          <w:szCs w:val="32"/>
        </w:rPr>
        <w:t>根据国家、省统一部署，进一步完善城乡居民门诊共济保障机制，</w:t>
      </w:r>
      <w:r>
        <w:rPr>
          <w:rFonts w:hint="eastAsia" w:ascii="仿宋" w:hAnsi="仿宋" w:eastAsia="仿宋" w:cs="仿宋"/>
          <w:color w:val="auto"/>
          <w:sz w:val="32"/>
          <w:szCs w:val="32"/>
        </w:rPr>
        <w:t>全面执行统一的城乡居民大病保险制度，健全统一规范的城乡医疗救助制度，健全统一的职工大病保险制度。</w:t>
      </w:r>
      <w:r>
        <w:rPr>
          <w:rFonts w:hint="eastAsia" w:ascii="仿宋" w:hAnsi="仿宋" w:eastAsia="仿宋" w:cs="仿宋"/>
          <w:color w:val="auto"/>
          <w:kern w:val="2"/>
          <w:sz w:val="32"/>
          <w:szCs w:val="32"/>
        </w:rPr>
        <w:t>实施医疗保障民生工程</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推进实施城乡居民基本医疗保险、大病保险和医疗救助民生工程项目，巩固扩大基本医保制度覆盖面。</w:t>
      </w:r>
      <w:r>
        <w:rPr>
          <w:rFonts w:hint="eastAsia" w:ascii="仿宋_GB2312" w:hAnsi="仿宋_GB2312" w:eastAsia="仿宋_GB2312" w:cs="仿宋_GB2312"/>
          <w:sz w:val="32"/>
          <w:szCs w:val="32"/>
        </w:rPr>
        <w:t>改革职工基本医疗保险个人账户，建立健全职工门诊共济保障机制</w:t>
      </w:r>
      <w:r>
        <w:rPr>
          <w:rFonts w:hint="eastAsia" w:ascii="仿宋_GB2312" w:hAnsi="仿宋_GB2312" w:eastAsia="仿宋_GB2312" w:cs="仿宋_GB2312"/>
          <w:sz w:val="32"/>
          <w:szCs w:val="32"/>
          <w:lang w:eastAsia="zh-CN"/>
        </w:rPr>
        <w:t>。</w:t>
      </w:r>
    </w:p>
    <w:p>
      <w:pPr>
        <w:pStyle w:val="2"/>
        <w:rPr>
          <w:rFonts w:hint="eastAsia" w:eastAsia="仿宋_GB2312"/>
          <w:lang w:val="en-US" w:eastAsia="zh-CN"/>
        </w:rPr>
      </w:pPr>
      <w:r>
        <w:rPr>
          <w:rFonts w:hint="eastAsia" w:ascii="仿宋" w:hAnsi="仿宋" w:eastAsia="仿宋" w:cs="仿宋"/>
          <w:b/>
          <w:bCs/>
          <w:color w:val="auto"/>
          <w:kern w:val="2"/>
          <w:sz w:val="32"/>
          <w:szCs w:val="32"/>
          <w:lang w:val="en-US" w:eastAsia="zh-CN" w:bidi="ar-SA"/>
        </w:rPr>
        <w:t>执行医保待遇清单制度。</w:t>
      </w:r>
      <w:r>
        <w:rPr>
          <w:rFonts w:hint="eastAsia" w:ascii="Times New Roman" w:hAnsi="Times New Roman" w:eastAsia="仿宋_GB2312" w:cs="Times New Roman"/>
          <w:b w:val="0"/>
          <w:bCs w:val="0"/>
          <w:color w:val="auto"/>
          <w:kern w:val="2"/>
          <w:sz w:val="32"/>
          <w:szCs w:val="32"/>
          <w:lang w:val="en-US" w:eastAsia="zh-CN" w:bidi="ar-SA"/>
        </w:rPr>
        <w:t>明晰“保基本”的内涵和外延，严格执行医疗保险待遇清单制度，明确市级责任界定权限、政策调整权限、决策制定程序，</w:t>
      </w:r>
      <w:r>
        <w:rPr>
          <w:rFonts w:hint="eastAsia" w:ascii="仿宋" w:hAnsi="仿宋" w:eastAsia="仿宋" w:cs="仿宋"/>
          <w:color w:val="auto"/>
          <w:kern w:val="2"/>
          <w:sz w:val="32"/>
          <w:szCs w:val="32"/>
        </w:rPr>
        <w:t>科学界定基本制度、基本政策、基金支付项目和标准，促进医疗保障制度法定化、决策科学化、管理规范化。严格执行基本支付范围和标准，实施公平适度保障，纠正过度保障和保障不足问题。</w:t>
      </w:r>
      <w:r>
        <w:rPr>
          <w:rFonts w:hint="eastAsia" w:ascii="仿宋" w:hAnsi="仿宋" w:eastAsia="仿宋" w:cs="仿宋"/>
          <w:color w:val="auto"/>
          <w:sz w:val="32"/>
          <w:szCs w:val="32"/>
        </w:rPr>
        <w:t>健全重特大疾病医疗保险和医疗救助制度。</w:t>
      </w:r>
      <w:r>
        <w:rPr>
          <w:rFonts w:hint="eastAsia" w:ascii="仿宋_GB2312" w:hAnsi="仿宋_GB2312" w:eastAsia="仿宋_GB2312" w:cs="仿宋_GB2312"/>
          <w:sz w:val="32"/>
          <w:szCs w:val="32"/>
        </w:rPr>
        <w:t>落实重大医疗保障待遇政策调整报告制度，</w:t>
      </w:r>
      <w:r>
        <w:rPr>
          <w:rFonts w:hint="eastAsia" w:ascii="仿宋_GB2312" w:hAnsi="仿宋_GB2312" w:eastAsia="仿宋_GB2312" w:cs="仿宋_GB2312"/>
          <w:kern w:val="0"/>
          <w:sz w:val="32"/>
          <w:szCs w:val="32"/>
        </w:rPr>
        <w:t>加大医疗保障待遇清单制度</w:t>
      </w:r>
      <w:r>
        <w:rPr>
          <w:rFonts w:hint="eastAsia" w:ascii="仿宋_GB2312" w:hAnsi="仿宋_GB2312" w:eastAsia="仿宋_GB2312" w:cs="仿宋_GB2312"/>
          <w:kern w:val="0"/>
          <w:sz w:val="32"/>
          <w:szCs w:val="32"/>
          <w:lang w:val="en-US" w:eastAsia="zh-CN"/>
        </w:rPr>
        <w:t>宣传和</w:t>
      </w:r>
      <w:r>
        <w:rPr>
          <w:rFonts w:hint="eastAsia" w:ascii="仿宋_GB2312" w:hAnsi="仿宋_GB2312" w:eastAsia="仿宋_GB2312" w:cs="仿宋_GB2312"/>
          <w:kern w:val="0"/>
          <w:sz w:val="32"/>
          <w:szCs w:val="32"/>
        </w:rPr>
        <w:t>解读，充分调动各方支持医疗保障事业发展的积极性和主动性</w:t>
      </w:r>
      <w:r>
        <w:rPr>
          <w:rFonts w:hint="eastAsia" w:ascii="仿宋_GB2312" w:hAnsi="仿宋_GB2312" w:eastAsia="仿宋_GB2312" w:cs="仿宋_GB2312"/>
          <w:kern w:val="0"/>
          <w:sz w:val="32"/>
          <w:szCs w:val="32"/>
          <w:lang w:eastAsia="zh-CN"/>
        </w:rPr>
        <w:t>。</w:t>
      </w:r>
    </w:p>
    <w:p>
      <w:pPr>
        <w:numPr>
          <w:ilvl w:val="0"/>
          <w:numId w:val="0"/>
        </w:numPr>
        <w:ind w:firstLine="643" w:firstLineChars="200"/>
        <w:rPr>
          <w:rFonts w:hint="default" w:eastAsia="仿宋"/>
          <w:color w:val="auto"/>
          <w:highlight w:val="green"/>
          <w:lang w:val="en-US" w:eastAsia="zh-CN"/>
        </w:rPr>
      </w:pPr>
      <w:r>
        <w:rPr>
          <w:rFonts w:ascii="仿宋" w:hAnsi="仿宋" w:eastAsia="仿宋" w:cs="仿宋"/>
          <w:b/>
          <w:bCs w:val="0"/>
          <w:color w:val="auto"/>
          <w:kern w:val="2"/>
          <w:sz w:val="32"/>
          <w:szCs w:val="32"/>
        </w:rPr>
        <w:t>健全可持续的筹资机制。</w:t>
      </w:r>
      <w:r>
        <w:rPr>
          <w:rFonts w:hint="eastAsia" w:ascii="仿宋" w:hAnsi="仿宋" w:eastAsia="仿宋" w:cs="仿宋"/>
          <w:b w:val="0"/>
          <w:color w:val="auto"/>
          <w:kern w:val="2"/>
          <w:sz w:val="32"/>
          <w:szCs w:val="32"/>
          <w:lang w:val="en-US" w:eastAsia="zh-CN" w:bidi="ar-SA"/>
        </w:rPr>
        <w:t>完善筹资分担</w:t>
      </w:r>
      <w:r>
        <w:rPr>
          <w:rFonts w:ascii="仿宋" w:hAnsi="仿宋" w:eastAsia="仿宋" w:cs="仿宋"/>
          <w:b w:val="0"/>
          <w:bCs/>
          <w:color w:val="auto"/>
          <w:kern w:val="2"/>
          <w:sz w:val="32"/>
          <w:szCs w:val="32"/>
        </w:rPr>
        <w:t>和调整机制，建立基本医疗保险基准费率制度，规范缴费基数政策，合理确定费率，实行动态调整。</w:t>
      </w:r>
      <w:r>
        <w:rPr>
          <w:rFonts w:hint="eastAsia" w:ascii="仿宋" w:hAnsi="仿宋" w:eastAsia="仿宋" w:cs="仿宋"/>
          <w:color w:val="auto"/>
          <w:kern w:val="2"/>
          <w:sz w:val="32"/>
          <w:szCs w:val="32"/>
        </w:rPr>
        <w:t>按照国家、省规定，及时调整城乡居民基本医保人均财政补助和个人缴费标准。</w:t>
      </w:r>
      <w:r>
        <w:rPr>
          <w:rFonts w:ascii="仿宋" w:hAnsi="仿宋" w:eastAsia="仿宋" w:cs="仿宋"/>
          <w:b w:val="0"/>
          <w:bCs/>
          <w:color w:val="auto"/>
          <w:kern w:val="2"/>
          <w:sz w:val="32"/>
          <w:szCs w:val="32"/>
        </w:rPr>
        <w:t>均衡个人、用人单位、政府三方筹资缴费责任，优化个人缴费和政府补助结构，研究应对老龄化医疗负担的多渠道筹资政策，加强财政对医疗救助投入，拓宽医疗救助筹资渠道。积极配合推动基本医疗保险省级统筹，进一步发挥医疗保险基金的互助共济功能，增强医疗保障制度公平性，提升基金抗风险能力。按照制度政策统一、基金统收统支、管理服务一体的要求，巩固完善基本医疗保险市级统筹。</w:t>
      </w:r>
    </w:p>
    <w:p>
      <w:pPr>
        <w:numPr>
          <w:ilvl w:val="-1"/>
          <w:numId w:val="0"/>
        </w:numPr>
        <w:ind w:firstLine="643" w:firstLineChars="200"/>
        <w:rPr>
          <w:rFonts w:hint="default" w:ascii="仿宋" w:hAnsi="仿宋" w:eastAsia="仿宋" w:cs="仿宋"/>
          <w:color w:val="auto"/>
          <w:sz w:val="32"/>
          <w:szCs w:val="32"/>
          <w:highlight w:val="green"/>
          <w:lang w:val="en-US" w:eastAsia="zh-CN"/>
        </w:rPr>
      </w:pPr>
      <w:r>
        <w:rPr>
          <w:rFonts w:hint="eastAsia" w:ascii="仿宋" w:hAnsi="仿宋" w:eastAsia="仿宋" w:cs="仿宋"/>
          <w:b/>
          <w:bCs/>
          <w:color w:val="auto"/>
          <w:sz w:val="32"/>
          <w:szCs w:val="32"/>
          <w:lang w:val="en-US" w:eastAsia="zh-CN"/>
        </w:rPr>
        <w:t>基本医疗保险门诊慢特病病种和认定标准。</w:t>
      </w:r>
      <w:r>
        <w:rPr>
          <w:rFonts w:hint="eastAsia" w:ascii="仿宋" w:hAnsi="仿宋" w:eastAsia="仿宋" w:cs="仿宋"/>
          <w:color w:val="auto"/>
          <w:sz w:val="32"/>
          <w:szCs w:val="32"/>
        </w:rPr>
        <w:t>完善基本医保门诊慢特病管理政策，统一全市基本医疗保险门诊慢特病病种和认定标准。</w:t>
      </w:r>
      <w:r>
        <w:rPr>
          <w:rFonts w:hint="eastAsia" w:ascii="仿宋_GB2312" w:hAnsi="仿宋_GB2312" w:eastAsia="仿宋_GB2312" w:cs="仿宋_GB2312"/>
          <w:b w:val="0"/>
          <w:bCs w:val="0"/>
          <w:color w:val="auto"/>
          <w:kern w:val="2"/>
          <w:sz w:val="32"/>
          <w:szCs w:val="32"/>
          <w:lang w:val="en-US" w:eastAsia="zh-Hans" w:bidi="ar-SA"/>
        </w:rPr>
        <w:t>加强</w:t>
      </w:r>
      <w:r>
        <w:rPr>
          <w:rFonts w:hint="eastAsia" w:ascii="仿宋_GB2312" w:hAnsi="仿宋_GB2312" w:eastAsia="仿宋_GB2312" w:cs="仿宋_GB2312"/>
          <w:b w:val="0"/>
          <w:bCs w:val="0"/>
          <w:color w:val="auto"/>
          <w:kern w:val="2"/>
          <w:sz w:val="32"/>
          <w:szCs w:val="32"/>
          <w:lang w:val="en-US" w:eastAsia="zh-CN" w:bidi="ar-SA"/>
        </w:rPr>
        <w:t>高血压、糖尿病等慢性病保障力度。</w:t>
      </w:r>
      <w:bookmarkEnd w:id="19"/>
      <w:bookmarkEnd w:id="20"/>
      <w:bookmarkEnd w:id="21"/>
    </w:p>
    <w:tbl>
      <w:tblPr>
        <w:tblStyle w:val="9"/>
        <w:tblW w:w="9200"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
      <w:tblGrid>
        <w:gridCol w:w="9200"/>
      </w:tblGrid>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jc w:val="center"/>
        </w:trPr>
        <w:tc>
          <w:tcPr>
            <w:tcW w:w="9200" w:type="dxa"/>
            <w:tcBorders>
              <w:tl2br w:val="nil"/>
              <w:tr2bl w:val="nil"/>
            </w:tcBorders>
            <w:tcMar>
              <w:top w:w="12" w:type="dxa"/>
              <w:left w:w="12" w:type="dxa"/>
              <w:right w:w="12" w:type="dxa"/>
            </w:tcMar>
            <w:vAlign w:val="center"/>
          </w:tcPr>
          <w:p>
            <w:pPr>
              <w:spacing w:line="300" w:lineRule="exact"/>
              <w:ind w:firstLine="600" w:firstLineChars="200"/>
              <w:jc w:val="center"/>
              <w:rPr>
                <w:rFonts w:hint="default" w:ascii="仿宋_GB2312" w:eastAsia="仿宋_GB2312" w:cs="仿宋_GB2312"/>
                <w:color w:val="auto"/>
                <w:kern w:val="0"/>
                <w:sz w:val="23"/>
                <w:szCs w:val="23"/>
                <w:lang w:bidi="ar"/>
              </w:rPr>
            </w:pPr>
            <w:r>
              <w:rPr>
                <w:rFonts w:hint="default" w:ascii="Times New Roman" w:hAnsi="Times New Roman" w:eastAsia="黑体"/>
                <w:bCs/>
                <w:color w:val="auto"/>
                <w:kern w:val="0"/>
                <w:sz w:val="30"/>
                <w:szCs w:val="30"/>
              </w:rPr>
              <w:t>专栏2  重大疾病医疗保障工程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jc w:val="center"/>
        </w:trPr>
        <w:tc>
          <w:tcPr>
            <w:tcW w:w="9200" w:type="dxa"/>
            <w:vMerge w:val="restart"/>
            <w:tcBorders>
              <w:tl2br w:val="nil"/>
              <w:tr2bl w:val="nil"/>
            </w:tcBorders>
            <w:shd w:val="clear" w:color="auto" w:fill="auto"/>
            <w:tcMar>
              <w:top w:w="12" w:type="dxa"/>
              <w:left w:w="12" w:type="dxa"/>
              <w:right w:w="12" w:type="dxa"/>
            </w:tcMar>
            <w:vAlign w:val="center"/>
          </w:tcPr>
          <w:p>
            <w:pPr>
              <w:numPr>
                <w:ilvl w:val="255"/>
                <w:numId w:val="0"/>
              </w:num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1.增强基本医保保障功能。</w:t>
            </w:r>
            <w:r>
              <w:rPr>
                <w:rFonts w:hint="eastAsia" w:asciiTheme="minorEastAsia" w:hAnsiTheme="minorEastAsia" w:eastAsiaTheme="minorEastAsia" w:cstheme="minorEastAsia"/>
                <w:b/>
                <w:bCs/>
                <w:color w:val="auto"/>
                <w:sz w:val="24"/>
                <w:szCs w:val="24"/>
              </w:rPr>
              <w:t>基本医疗保险全面实行公平普惠保障，执行全市统一的城乡居民基本医疗保险政策，享受统一的基本医疗保障。</w:t>
            </w:r>
            <w:r>
              <w:rPr>
                <w:rFonts w:asciiTheme="minorEastAsia" w:hAnsiTheme="minorEastAsia" w:eastAsiaTheme="minorEastAsia" w:cstheme="minorEastAsia"/>
                <w:b/>
                <w:bCs/>
                <w:color w:val="auto"/>
                <w:sz w:val="24"/>
                <w:szCs w:val="24"/>
              </w:rPr>
              <w:t>及时落实国家集中带量采购、谈判药支付等政策。</w:t>
            </w:r>
          </w:p>
          <w:p>
            <w:pPr>
              <w:numPr>
                <w:ilvl w:val="255"/>
                <w:numId w:val="0"/>
              </w:numPr>
              <w:spacing w:line="340" w:lineRule="exact"/>
              <w:ind w:firstLine="482" w:firstLineChars="200"/>
              <w:jc w:val="left"/>
              <w:rPr>
                <w:rFonts w:hint="eastAsia"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2.提高大病保险保障能力。</w:t>
            </w:r>
            <w:r>
              <w:rPr>
                <w:rFonts w:hint="eastAsia" w:asciiTheme="minorEastAsia" w:hAnsiTheme="minorEastAsia" w:eastAsiaTheme="minorEastAsia" w:cstheme="minorEastAsia"/>
                <w:b/>
                <w:bCs/>
                <w:color w:val="auto"/>
                <w:sz w:val="24"/>
                <w:szCs w:val="24"/>
              </w:rPr>
              <w:t>持续巩固完善城乡居民大病保险保障政策，大病保险对特困人员、低保对象和返贫致贫人口等特殊人群实施倾斜支付。</w:t>
            </w:r>
          </w:p>
          <w:p>
            <w:pPr>
              <w:numPr>
                <w:ilvl w:val="255"/>
                <w:numId w:val="0"/>
              </w:num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3.夯实医疗救助托底保障。通过明确诊疗方案、规范转诊等措施降低医疗成本，提高年度医疗救助限额，合理控制困难群众政策范围内自付费用比例。</w:t>
            </w:r>
          </w:p>
          <w:p>
            <w:pPr>
              <w:numPr>
                <w:ilvl w:val="255"/>
                <w:numId w:val="0"/>
              </w:num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4.建立救助对象及时精准识别机制，加强部门协同，做好各类困难群众身份信息共享，及时将符合条件的纳入医疗救助范围。</w:t>
            </w:r>
          </w:p>
          <w:p>
            <w:pPr>
              <w:numPr>
                <w:ilvl w:val="255"/>
                <w:numId w:val="0"/>
              </w:num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5.健全防范化解因病致贫返贫的长效机制，强化高额医疗费用支出预警监测，依申请落实救助保障政策。</w:t>
            </w:r>
          </w:p>
          <w:p>
            <w:pPr>
              <w:numPr>
                <w:ilvl w:val="255"/>
                <w:numId w:val="0"/>
              </w:numPr>
              <w:spacing w:line="340" w:lineRule="exact"/>
              <w:ind w:firstLine="482" w:firstLineChars="200"/>
              <w:jc w:val="left"/>
              <w:rPr>
                <w:rFonts w:hint="default" w:asciiTheme="minorEastAsia" w:hAnsiTheme="minorEastAsia" w:eastAsiaTheme="minorEastAsia" w:cstheme="minorEastAsia"/>
                <w:b/>
                <w:bCs/>
                <w:color w:val="auto"/>
                <w:sz w:val="24"/>
                <w:szCs w:val="24"/>
                <w:lang w:bidi="ar"/>
              </w:rPr>
            </w:pPr>
            <w:r>
              <w:rPr>
                <w:rFonts w:asciiTheme="minorEastAsia" w:hAnsiTheme="minorEastAsia" w:eastAsiaTheme="minorEastAsia" w:cstheme="minorEastAsia"/>
                <w:b/>
                <w:bCs/>
                <w:color w:val="auto"/>
                <w:sz w:val="24"/>
                <w:szCs w:val="24"/>
                <w:lang w:bidi="ar"/>
              </w:rPr>
              <w:t>6.健全引导社会力量参与机制，鼓励商业健康保险和医疗互助发展，壮大慈善医疗救助。</w:t>
            </w:r>
          </w:p>
          <w:p>
            <w:pPr>
              <w:numPr>
                <w:ilvl w:val="255"/>
                <w:numId w:val="0"/>
              </w:numPr>
              <w:spacing w:line="340" w:lineRule="exact"/>
              <w:ind w:firstLine="482" w:firstLineChars="200"/>
              <w:jc w:val="left"/>
              <w:rPr>
                <w:rFonts w:hint="default" w:asciiTheme="minorEastAsia" w:hAnsiTheme="minorEastAsia" w:eastAsiaTheme="minorEastAsia" w:cstheme="minorEastAsia"/>
                <w:b/>
                <w:bCs/>
                <w:color w:val="auto"/>
                <w:sz w:val="23"/>
                <w:szCs w:val="23"/>
                <w:lang w:bidi="ar"/>
              </w:rPr>
            </w:pPr>
            <w:r>
              <w:rPr>
                <w:rFonts w:asciiTheme="minorEastAsia" w:hAnsiTheme="minorEastAsia" w:eastAsiaTheme="minorEastAsia" w:cstheme="minorEastAsia"/>
                <w:b/>
                <w:bCs/>
                <w:color w:val="auto"/>
                <w:sz w:val="24"/>
                <w:szCs w:val="24"/>
                <w:lang w:bidi="ar"/>
              </w:rPr>
              <w:t>7.引导实施合理诊疗，促进有序就医，严控不合理医疗费用。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jc w:val="center"/>
        </w:trPr>
        <w:tc>
          <w:tcPr>
            <w:tcW w:w="9200" w:type="dxa"/>
            <w:vMerge w:val="continue"/>
            <w:tcBorders>
              <w:tl2br w:val="nil"/>
              <w:tr2bl w:val="nil"/>
            </w:tcBorders>
            <w:shd w:val="clear" w:color="auto" w:fill="auto"/>
            <w:tcMar>
              <w:top w:w="12" w:type="dxa"/>
              <w:left w:w="12" w:type="dxa"/>
              <w:right w:w="12" w:type="dxa"/>
            </w:tcMar>
            <w:vAlign w:val="center"/>
          </w:tcPr>
          <w:p>
            <w:pPr>
              <w:spacing w:line="300" w:lineRule="exact"/>
              <w:ind w:firstLine="460" w:firstLineChars="200"/>
              <w:jc w:val="left"/>
              <w:rPr>
                <w:rFonts w:hint="default" w:ascii="仿宋_GB2312" w:eastAsia="仿宋_GB2312" w:cs="仿宋_GB2312"/>
                <w:color w:val="auto"/>
                <w:kern w:val="0"/>
                <w:sz w:val="23"/>
                <w:szCs w:val="23"/>
                <w:lang w:bidi="ar"/>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jc w:val="center"/>
        </w:trPr>
        <w:tc>
          <w:tcPr>
            <w:tcW w:w="9200" w:type="dxa"/>
            <w:vMerge w:val="continue"/>
            <w:tcBorders>
              <w:tl2br w:val="nil"/>
              <w:tr2bl w:val="nil"/>
            </w:tcBorders>
            <w:shd w:val="clear" w:color="auto" w:fill="auto"/>
            <w:tcMar>
              <w:top w:w="12" w:type="dxa"/>
              <w:left w:w="12" w:type="dxa"/>
              <w:right w:w="12" w:type="dxa"/>
            </w:tcMar>
            <w:vAlign w:val="center"/>
          </w:tcPr>
          <w:p>
            <w:pPr>
              <w:spacing w:line="300" w:lineRule="exact"/>
              <w:ind w:firstLine="460" w:firstLineChars="200"/>
              <w:jc w:val="left"/>
              <w:rPr>
                <w:rFonts w:hint="default" w:ascii="仿宋_GB2312" w:eastAsia="仿宋_GB2312" w:cs="仿宋_GB2312"/>
                <w:color w:val="auto"/>
                <w:kern w:val="0"/>
                <w:sz w:val="23"/>
                <w:szCs w:val="23"/>
                <w:lang w:bidi="ar"/>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jc w:val="center"/>
        </w:trPr>
        <w:tc>
          <w:tcPr>
            <w:tcW w:w="9200" w:type="dxa"/>
            <w:vMerge w:val="continue"/>
            <w:tcBorders>
              <w:tl2br w:val="nil"/>
              <w:tr2bl w:val="nil"/>
            </w:tcBorders>
            <w:shd w:val="clear" w:color="auto" w:fill="auto"/>
            <w:tcMar>
              <w:top w:w="12" w:type="dxa"/>
              <w:left w:w="12" w:type="dxa"/>
              <w:right w:w="12" w:type="dxa"/>
            </w:tcMar>
            <w:vAlign w:val="center"/>
          </w:tcPr>
          <w:p>
            <w:pPr>
              <w:spacing w:line="300" w:lineRule="exact"/>
              <w:ind w:firstLine="460" w:firstLineChars="200"/>
              <w:jc w:val="left"/>
              <w:rPr>
                <w:rFonts w:hint="default" w:ascii="仿宋_GB2312" w:eastAsia="仿宋_GB2312" w:cs="仿宋_GB2312"/>
                <w:color w:val="auto"/>
                <w:kern w:val="0"/>
                <w:sz w:val="23"/>
                <w:szCs w:val="23"/>
                <w:lang w:bidi="ar"/>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jc w:val="center"/>
        </w:trPr>
        <w:tc>
          <w:tcPr>
            <w:tcW w:w="9200" w:type="dxa"/>
            <w:vMerge w:val="continue"/>
            <w:tcBorders>
              <w:tl2br w:val="nil"/>
              <w:tr2bl w:val="nil"/>
            </w:tcBorders>
            <w:shd w:val="clear" w:color="auto" w:fill="auto"/>
            <w:tcMar>
              <w:top w:w="12" w:type="dxa"/>
              <w:left w:w="12" w:type="dxa"/>
              <w:right w:w="12" w:type="dxa"/>
            </w:tcMar>
            <w:vAlign w:val="center"/>
          </w:tcPr>
          <w:p>
            <w:pPr>
              <w:spacing w:line="300" w:lineRule="exact"/>
              <w:ind w:firstLine="460" w:firstLineChars="200"/>
              <w:jc w:val="left"/>
              <w:rPr>
                <w:rFonts w:hint="default" w:ascii="仿宋_GB2312" w:eastAsia="仿宋_GB2312" w:cs="仿宋_GB2312"/>
                <w:color w:val="auto"/>
                <w:kern w:val="0"/>
                <w:sz w:val="23"/>
                <w:szCs w:val="23"/>
                <w:lang w:bidi="ar"/>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jc w:val="center"/>
        </w:trPr>
        <w:tc>
          <w:tcPr>
            <w:tcW w:w="9200" w:type="dxa"/>
            <w:vMerge w:val="continue"/>
            <w:tcBorders>
              <w:tl2br w:val="nil"/>
              <w:tr2bl w:val="nil"/>
            </w:tcBorders>
            <w:shd w:val="clear" w:color="auto" w:fill="auto"/>
            <w:tcMar>
              <w:top w:w="12" w:type="dxa"/>
              <w:left w:w="12" w:type="dxa"/>
              <w:right w:w="12" w:type="dxa"/>
            </w:tcMar>
            <w:vAlign w:val="center"/>
          </w:tcPr>
          <w:p>
            <w:pPr>
              <w:spacing w:line="300" w:lineRule="exact"/>
              <w:ind w:firstLine="460" w:firstLineChars="200"/>
              <w:jc w:val="left"/>
              <w:rPr>
                <w:rFonts w:hint="default" w:ascii="仿宋_GB2312" w:eastAsia="仿宋_GB2312" w:cs="仿宋_GB2312"/>
                <w:color w:val="auto"/>
                <w:kern w:val="0"/>
                <w:sz w:val="23"/>
                <w:szCs w:val="23"/>
                <w:lang w:bidi="ar"/>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jc w:val="center"/>
        </w:trPr>
        <w:tc>
          <w:tcPr>
            <w:tcW w:w="9200" w:type="dxa"/>
            <w:vMerge w:val="continue"/>
            <w:tcBorders>
              <w:tl2br w:val="nil"/>
              <w:tr2bl w:val="nil"/>
            </w:tcBorders>
            <w:shd w:val="clear" w:color="auto" w:fill="auto"/>
            <w:tcMar>
              <w:top w:w="12" w:type="dxa"/>
              <w:left w:w="12" w:type="dxa"/>
              <w:right w:w="12" w:type="dxa"/>
            </w:tcMar>
            <w:vAlign w:val="center"/>
          </w:tcPr>
          <w:p>
            <w:pPr>
              <w:spacing w:line="300" w:lineRule="exact"/>
              <w:ind w:firstLine="460" w:firstLineChars="200"/>
              <w:jc w:val="left"/>
              <w:rPr>
                <w:rFonts w:hint="default" w:ascii="仿宋_GB2312" w:eastAsia="仿宋_GB2312" w:cs="仿宋_GB2312"/>
                <w:color w:val="auto"/>
                <w:kern w:val="0"/>
                <w:sz w:val="23"/>
                <w:szCs w:val="23"/>
                <w:lang w:bidi="ar"/>
              </w:rPr>
            </w:pPr>
          </w:p>
        </w:tc>
      </w:tr>
    </w:tbl>
    <w:p>
      <w:pPr>
        <w:numPr>
          <w:ilvl w:val="0"/>
          <w:numId w:val="0"/>
        </w:numPr>
        <w:ind w:firstLine="640" w:firstLineChars="200"/>
        <w:rPr>
          <w:rFonts w:hint="default" w:ascii="仿宋" w:hAnsi="仿宋" w:eastAsia="仿宋" w:cs="仿宋"/>
          <w:color w:val="auto"/>
          <w:kern w:val="2"/>
          <w:sz w:val="32"/>
          <w:szCs w:val="32"/>
          <w:highlight w:val="green"/>
          <w:lang w:val="en-US" w:eastAsia="zh-CN"/>
        </w:rPr>
      </w:pPr>
    </w:p>
    <w:p>
      <w:pPr>
        <w:widowControl/>
        <w:adjustRightInd w:val="0"/>
        <w:spacing w:beforeAutospacing="0" w:afterAutospacing="0" w:line="592" w:lineRule="atLeast"/>
        <w:ind w:firstLine="643" w:firstLineChars="200"/>
        <w:jc w:val="both"/>
        <w:rPr>
          <w:rFonts w:hint="default" w:ascii="楷体" w:hAnsi="楷体" w:eastAsia="仿宋" w:cs="楷体"/>
          <w:color w:val="auto"/>
          <w:sz w:val="32"/>
          <w:szCs w:val="32"/>
          <w:highlight w:val="green"/>
          <w:shd w:val="clear" w:color="auto" w:fill="FFFFFF"/>
          <w:lang w:val="en-US" w:eastAsia="zh-CN" w:bidi="ar"/>
        </w:rPr>
      </w:pPr>
      <w:r>
        <w:rPr>
          <w:rFonts w:hint="eastAsia" w:ascii="仿宋" w:hAnsi="仿宋" w:eastAsia="仿宋" w:cs="仿宋"/>
          <w:b/>
          <w:bCs/>
          <w:color w:val="auto"/>
          <w:kern w:val="2"/>
          <w:sz w:val="32"/>
          <w:szCs w:val="32"/>
          <w:highlight w:val="none"/>
        </w:rPr>
        <w:t>完善重大疫情医疗救治费用保障机制。</w:t>
      </w:r>
      <w:r>
        <w:rPr>
          <w:rFonts w:hint="eastAsia" w:ascii="仿宋" w:hAnsi="仿宋" w:eastAsia="仿宋" w:cs="仿宋"/>
          <w:color w:val="auto"/>
          <w:kern w:val="2"/>
          <w:sz w:val="32"/>
          <w:szCs w:val="32"/>
          <w:highlight w:val="none"/>
        </w:rPr>
        <w:t>在突发疫情等紧急情况时，确保医疗机构先救治、后收费。健全重大疫情医疗救治医保支付政策，完善异地就医直接结算制度，确保患者不因费用问题影响就医。探索建立特殊群体、特定疾病医药费豁免制度，有针对性免除医保目录、支付限额、用药量等限制性条款，减轻困难群众就医就诊后顾之忧。</w:t>
      </w:r>
      <w:r>
        <w:rPr>
          <w:rFonts w:ascii="Times New Roman" w:hAnsi="Times New Roman" w:eastAsia="仿宋_GB2312"/>
          <w:color w:val="auto"/>
          <w:sz w:val="32"/>
          <w:szCs w:val="32"/>
          <w:highlight w:val="none"/>
        </w:rPr>
        <w:t>确</w:t>
      </w:r>
      <w:r>
        <w:rPr>
          <w:rFonts w:ascii="Times New Roman" w:hAnsi="Times New Roman" w:eastAsia="仿宋_GB2312"/>
          <w:color w:val="auto"/>
          <w:sz w:val="32"/>
          <w:szCs w:val="32"/>
        </w:rPr>
        <w:t>保患者不因费用问题影响就医、</w:t>
      </w:r>
      <w:r>
        <w:rPr>
          <w:rFonts w:hint="default" w:ascii="Times New Roman" w:hAnsi="Times New Roman" w:eastAsia="仿宋_GB2312"/>
          <w:color w:val="auto"/>
          <w:sz w:val="32"/>
          <w:szCs w:val="32"/>
        </w:rPr>
        <w:t>确保收治医院不因支付政策影响救治。</w:t>
      </w:r>
    </w:p>
    <w:p>
      <w:pPr>
        <w:numPr>
          <w:ilvl w:val="0"/>
          <w:numId w:val="0"/>
        </w:numPr>
        <w:ind w:firstLine="643" w:firstLineChars="200"/>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b/>
          <w:bCs/>
          <w:color w:val="auto"/>
          <w:kern w:val="2"/>
          <w:sz w:val="32"/>
          <w:szCs w:val="32"/>
          <w:highlight w:val="none"/>
          <w:lang w:val="en-US" w:eastAsia="zh-CN" w:bidi="ar"/>
        </w:rPr>
        <w:t>巩固拓展医保脱贫攻坚成果同乡村振兴战略有效衔接。</w:t>
      </w:r>
      <w:r>
        <w:rPr>
          <w:rFonts w:hint="eastAsia" w:ascii="仿宋" w:hAnsi="仿宋" w:eastAsia="仿宋" w:cs="仿宋"/>
          <w:color w:val="auto"/>
          <w:kern w:val="2"/>
          <w:sz w:val="32"/>
          <w:szCs w:val="32"/>
          <w:highlight w:val="none"/>
          <w:lang w:val="en-US" w:eastAsia="zh-CN" w:bidi="ar"/>
        </w:rPr>
        <w:t>巩固拓展医疗保障脱贫攻坚成果与乡村振兴战略有效衔接，将脱贫攻坚期内的超常规保障政策转化为通过基本医保、大病保险、医疗救助三重制度实行常态化保障，确保特困人员、低保对象、返贫致贫人口等农村低收入人口稳定纳入基本医疗保障制度覆盖范围，合理确定农村医疗保障待遇水平。</w:t>
      </w:r>
    </w:p>
    <w:p>
      <w:pPr>
        <w:spacing w:line="600" w:lineRule="exact"/>
        <w:ind w:firstLine="643" w:firstLineChars="200"/>
        <w:rPr>
          <w:rFonts w:hint="default" w:ascii="仿宋" w:hAnsi="仿宋" w:eastAsia="仿宋" w:cs="仿宋"/>
          <w:color w:val="auto"/>
          <w:kern w:val="2"/>
          <w:sz w:val="32"/>
          <w:szCs w:val="32"/>
          <w:highlight w:val="green"/>
          <w:lang w:val="en-US" w:eastAsia="zh-CN" w:bidi="ar"/>
        </w:rPr>
      </w:pPr>
      <w:r>
        <w:rPr>
          <w:rFonts w:hint="eastAsia" w:ascii="仿宋" w:hAnsi="仿宋" w:eastAsia="仿宋" w:cs="仿宋"/>
          <w:b/>
          <w:bCs/>
          <w:color w:val="auto"/>
          <w:kern w:val="2"/>
          <w:sz w:val="32"/>
          <w:szCs w:val="32"/>
          <w:lang w:val="en-US" w:eastAsia="zh-CN" w:bidi="ar"/>
        </w:rPr>
        <w:t>加强医保基金管理。</w:t>
      </w:r>
      <w:r>
        <w:rPr>
          <w:rFonts w:hint="eastAsia" w:ascii="仿宋" w:hAnsi="仿宋" w:eastAsia="仿宋" w:cs="仿宋"/>
          <w:color w:val="auto"/>
          <w:kern w:val="2"/>
          <w:sz w:val="32"/>
          <w:szCs w:val="32"/>
          <w:lang w:val="en-US" w:eastAsia="zh-CN" w:bidi="ar"/>
        </w:rPr>
        <w:t>全面加强医疗保障基金预决算管理，科学编制医疗保障基金收支预算，加强预算执行监督。强化医保基金预算绩效管理，推进医保基金管理绩效评价。健全基金运行风险评估、预警机制，加强基金运行统计分析和风险预警，按季度进行运行分析，按年度进行运行评估。全面做实城乡居民基本医疗保险基金市级统筹。按照“以收定支、收支平衡、总额控制、超支不补”原则，对全市城乡居民基本医疗保险基金实行统收统支，市级和县区两级分账核算、单独记账，提高医保基金运行效率和抗风险能力。</w:t>
      </w:r>
    </w:p>
    <w:p>
      <w:pPr>
        <w:pStyle w:val="8"/>
        <w:widowControl/>
        <w:numPr>
          <w:ilvl w:val="0"/>
          <w:numId w:val="0"/>
        </w:numPr>
        <w:spacing w:beforeAutospacing="0" w:afterAutospacing="0" w:line="592" w:lineRule="atLeast"/>
        <w:ind w:firstLine="643" w:firstLineChars="200"/>
        <w:jc w:val="both"/>
        <w:rPr>
          <w:rFonts w:hint="default"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rPr>
        <w:t>积极发展商业</w:t>
      </w:r>
      <w:r>
        <w:rPr>
          <w:rFonts w:hint="eastAsia" w:ascii="仿宋" w:hAnsi="仿宋" w:eastAsia="仿宋" w:cs="仿宋"/>
          <w:b/>
          <w:bCs/>
          <w:color w:val="auto"/>
          <w:kern w:val="2"/>
          <w:sz w:val="32"/>
          <w:szCs w:val="32"/>
          <w:lang w:val="en-US" w:eastAsia="zh-CN"/>
        </w:rPr>
        <w:t>健康补充</w:t>
      </w:r>
      <w:r>
        <w:rPr>
          <w:rFonts w:hint="eastAsia" w:ascii="仿宋" w:hAnsi="仿宋" w:eastAsia="仿宋" w:cs="仿宋"/>
          <w:b/>
          <w:bCs/>
          <w:color w:val="auto"/>
          <w:kern w:val="2"/>
          <w:sz w:val="32"/>
          <w:szCs w:val="32"/>
        </w:rPr>
        <w:t>保险。</w:t>
      </w:r>
      <w:r>
        <w:rPr>
          <w:rFonts w:hint="eastAsia" w:ascii="仿宋" w:hAnsi="仿宋" w:eastAsia="仿宋" w:cs="仿宋"/>
          <w:color w:val="auto"/>
          <w:kern w:val="2"/>
          <w:sz w:val="32"/>
          <w:szCs w:val="32"/>
        </w:rPr>
        <w:t>引导保险机构创新完善保障内容，提高保障水平和服务能力，支持保险公司、中医药机构合作开展健康管理服务。积极开展老年人慢性病健康管理，鼓励商业保险将老年人常见慢性非传染性疾病的健康管理纳入保障范围。厘清基本医保责任边界，为商业健康保险的发展留足空间。依托“互联网+”和数字化优势，全面提升商业补充保险参保理赔便利性。</w:t>
      </w:r>
    </w:p>
    <w:p>
      <w:pPr>
        <w:pStyle w:val="3"/>
        <w:spacing w:beforeAutospacing="0" w:afterAutospacing="0"/>
        <w:ind w:firstLine="643" w:firstLineChars="200"/>
        <w:jc w:val="both"/>
        <w:rPr>
          <w:rFonts w:hint="eastAsia" w:ascii="方正楷体_GBK" w:hAnsi="方正楷体_GBK" w:eastAsia="方正楷体_GBK" w:cs="方正楷体_GBK"/>
          <w:color w:val="auto"/>
          <w:sz w:val="32"/>
          <w:szCs w:val="32"/>
          <w:lang w:val="en-US" w:eastAsia="zh-CN"/>
        </w:rPr>
      </w:pPr>
      <w:bookmarkStart w:id="22" w:name="_Toc28972"/>
      <w:bookmarkStart w:id="23" w:name="_Toc22536"/>
      <w:r>
        <w:rPr>
          <w:rFonts w:hint="eastAsia" w:ascii="方正楷体_GBK" w:hAnsi="方正楷体_GBK" w:eastAsia="方正楷体_GBK" w:cs="方正楷体_GBK"/>
          <w:color w:val="auto"/>
          <w:sz w:val="32"/>
          <w:szCs w:val="32"/>
          <w:lang w:val="en-US" w:eastAsia="zh-CN"/>
        </w:rPr>
        <w:t>（二）优化医疗保障协同治理体系</w:t>
      </w:r>
      <w:bookmarkEnd w:id="22"/>
      <w:r>
        <w:rPr>
          <w:rFonts w:hint="eastAsia" w:ascii="方正楷体_GBK" w:hAnsi="方正楷体_GBK" w:eastAsia="方正楷体_GBK" w:cs="方正楷体_GBK"/>
          <w:color w:val="auto"/>
          <w:sz w:val="32"/>
          <w:szCs w:val="32"/>
          <w:lang w:val="en-US" w:eastAsia="zh-CN"/>
        </w:rPr>
        <w:t>。</w:t>
      </w:r>
      <w:bookmarkEnd w:id="23"/>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 w:hAnsi="仿宋" w:eastAsia="仿宋" w:cs="仿宋"/>
          <w:color w:val="auto"/>
          <w:kern w:val="2"/>
          <w:sz w:val="32"/>
          <w:szCs w:val="32"/>
          <w:highlight w:val="green"/>
          <w:lang w:val="en-US"/>
        </w:rPr>
      </w:pPr>
      <w:r>
        <w:rPr>
          <w:rFonts w:hint="eastAsia" w:ascii="仿宋" w:hAnsi="仿宋" w:eastAsia="仿宋" w:cs="仿宋"/>
          <w:b/>
          <w:bCs/>
          <w:color w:val="auto"/>
          <w:kern w:val="2"/>
          <w:sz w:val="32"/>
          <w:szCs w:val="32"/>
          <w:highlight w:val="none"/>
          <w:lang w:val="en-US" w:eastAsia="zh-CN" w:bidi="ar"/>
        </w:rPr>
        <w:t>全面实行多元复合式医保支付</w:t>
      </w:r>
      <w:r>
        <w:rPr>
          <w:rFonts w:hint="eastAsia" w:ascii="仿宋" w:hAnsi="仿宋" w:eastAsia="仿宋" w:cs="仿宋"/>
          <w:b w:val="0"/>
          <w:bCs w:val="0"/>
          <w:color w:val="auto"/>
          <w:kern w:val="2"/>
          <w:sz w:val="32"/>
          <w:szCs w:val="32"/>
          <w:highlight w:val="none"/>
          <w:lang w:val="en-US" w:eastAsia="zh-CN" w:bidi="ar"/>
        </w:rPr>
        <w:t>。</w:t>
      </w:r>
      <w:r>
        <w:rPr>
          <w:rFonts w:hint="eastAsia" w:ascii="仿宋" w:hAnsi="仿宋" w:eastAsia="仿宋" w:cs="仿宋"/>
          <w:b w:val="0"/>
          <w:bCs w:val="0"/>
          <w:color w:val="auto"/>
          <w:kern w:val="2"/>
          <w:sz w:val="32"/>
          <w:szCs w:val="32"/>
          <w:lang w:val="en-US" w:eastAsia="zh-CN" w:bidi="ar"/>
        </w:rPr>
        <w:t>完善医保基金总额预算管理，科学制定总额预算。</w:t>
      </w:r>
      <w:r>
        <w:rPr>
          <w:rFonts w:hint="eastAsia" w:ascii="仿宋" w:hAnsi="仿宋" w:eastAsia="仿宋" w:cs="仿宋"/>
          <w:color w:val="auto"/>
          <w:kern w:val="2"/>
          <w:sz w:val="32"/>
          <w:szCs w:val="32"/>
          <w:lang w:val="en-US" w:eastAsia="zh-CN" w:bidi="ar"/>
        </w:rPr>
        <w:t>推进以按病种付费为主的多元复合式医保支付方式改革，做好区域点数法总额预算和按病种分值(DIP) 付费国家级试点工作。统筹推进基层医疗机构适宜日间病床收治病种门诊按病种付费、精神类疾病按床日付费、中医药适宜技术门诊按病种付费、门诊特殊慢性病按人头付费等多元复合式支付方式,</w:t>
      </w:r>
      <w:r>
        <w:rPr>
          <w:rFonts w:ascii="Times New Roman" w:hAnsi="Times New Roman" w:eastAsia="仿宋_GB2312"/>
          <w:color w:val="auto"/>
          <w:spacing w:val="-6"/>
          <w:sz w:val="32"/>
          <w:szCs w:val="32"/>
        </w:rPr>
        <w:t>探索符合中医药特点的医保支付方式。适应医疗服务模式发展创新，建立病种分组、医疗机构系数等动态调整机制，</w:t>
      </w:r>
      <w:r>
        <w:rPr>
          <w:rFonts w:hint="eastAsia" w:ascii="仿宋" w:hAnsi="仿宋" w:eastAsia="仿宋" w:cs="仿宋"/>
          <w:color w:val="auto"/>
          <w:kern w:val="2"/>
          <w:sz w:val="32"/>
          <w:szCs w:val="32"/>
          <w:lang w:val="en-US" w:eastAsia="zh-CN" w:bidi="ar"/>
        </w:rPr>
        <w:t>健全医疗保障经办机构与医疗机构之间协商谈判机制，形成与医疗机构共治共享的格局。对紧密型县域医共体实行按人头总额预付，加强监督考核，结余留用、合理超支分担，建立经济性评价制度。</w:t>
      </w:r>
    </w:p>
    <w:tbl>
      <w:tblPr>
        <w:tblStyle w:val="9"/>
        <w:tblW w:w="9340"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
      <w:tblGrid>
        <w:gridCol w:w="9340"/>
      </w:tblGrid>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jc w:val="center"/>
        </w:trPr>
        <w:tc>
          <w:tcPr>
            <w:tcW w:w="9340" w:type="dxa"/>
            <w:tcBorders>
              <w:tl2br w:val="nil"/>
              <w:tr2bl w:val="nil"/>
            </w:tcBorders>
            <w:tcMar>
              <w:top w:w="12" w:type="dxa"/>
              <w:left w:w="12" w:type="dxa"/>
              <w:right w:w="12" w:type="dxa"/>
            </w:tcMar>
            <w:vAlign w:val="center"/>
          </w:tcPr>
          <w:p>
            <w:pPr>
              <w:widowControl/>
              <w:spacing w:line="340" w:lineRule="exact"/>
              <w:jc w:val="center"/>
              <w:textAlignment w:val="center"/>
              <w:rPr>
                <w:rFonts w:hint="default" w:ascii="宋体" w:hAnsi="宋体" w:eastAsia="黑体"/>
                <w:color w:val="auto"/>
                <w:sz w:val="28"/>
              </w:rPr>
            </w:pPr>
            <w:r>
              <w:rPr>
                <w:rFonts w:hint="default" w:ascii="Times New Roman" w:hAnsi="Times New Roman" w:eastAsia="黑体"/>
                <w:bCs/>
                <w:color w:val="auto"/>
                <w:kern w:val="0"/>
                <w:sz w:val="30"/>
                <w:szCs w:val="30"/>
              </w:rPr>
              <w:t>专栏</w:t>
            </w:r>
            <w:r>
              <w:rPr>
                <w:rFonts w:hint="eastAsia" w:ascii="Times New Roman" w:hAnsi="Times New Roman" w:eastAsia="黑体"/>
                <w:bCs/>
                <w:color w:val="auto"/>
                <w:kern w:val="0"/>
                <w:sz w:val="30"/>
                <w:szCs w:val="30"/>
                <w:lang w:val="en-US" w:eastAsia="zh-CN"/>
              </w:rPr>
              <w:t>3</w:t>
            </w:r>
            <w:r>
              <w:rPr>
                <w:rFonts w:hint="default" w:ascii="Times New Roman" w:hAnsi="Times New Roman" w:eastAsia="黑体"/>
                <w:bCs/>
                <w:color w:val="auto"/>
                <w:kern w:val="0"/>
                <w:sz w:val="30"/>
                <w:szCs w:val="30"/>
              </w:rPr>
              <w:t xml:space="preserve">  多元复合医保支付方式主要类型</w:t>
            </w:r>
            <w:r>
              <w:rPr>
                <w:rFonts w:ascii="Times New Roman" w:hAnsi="Times New Roman" w:eastAsia="黑体"/>
                <w:bCs/>
                <w:color w:val="auto"/>
                <w:kern w:val="0"/>
                <w:sz w:val="30"/>
                <w:szCs w:val="30"/>
              </w:rPr>
              <w:t>和</w:t>
            </w:r>
            <w:r>
              <w:rPr>
                <w:rFonts w:hint="default" w:ascii="Times New Roman" w:hAnsi="Times New Roman" w:eastAsia="黑体"/>
                <w:bCs/>
                <w:color w:val="auto"/>
                <w:kern w:val="0"/>
                <w:sz w:val="30"/>
                <w:szCs w:val="30"/>
              </w:rPr>
              <w:t>改革方向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jc w:val="center"/>
        </w:trPr>
        <w:tc>
          <w:tcPr>
            <w:tcW w:w="9340" w:type="dxa"/>
            <w:tcBorders>
              <w:tl2br w:val="nil"/>
              <w:tr2bl w:val="nil"/>
            </w:tcBorders>
            <w:tcMar>
              <w:top w:w="12" w:type="dxa"/>
              <w:left w:w="12" w:type="dxa"/>
              <w:right w:w="12" w:type="dxa"/>
            </w:tcMar>
            <w:vAlign w:val="center"/>
          </w:tcPr>
          <w:p>
            <w:p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hint="default" w:asciiTheme="minorEastAsia" w:hAnsiTheme="minorEastAsia" w:eastAsiaTheme="minorEastAsia" w:cstheme="minorEastAsia"/>
                <w:b/>
                <w:bCs/>
                <w:color w:val="auto"/>
                <w:sz w:val="24"/>
                <w:szCs w:val="24"/>
              </w:rPr>
              <w:t>1.医保基金总额预算管理。积极探索将点数法与总额预算管理等相结合，逐步使用区域(或一 定范围内)医保基金总额预算代替具体医疗机构总额控制。</w:t>
            </w:r>
          </w:p>
          <w:p>
            <w:p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hint="default" w:asciiTheme="minorEastAsia" w:hAnsiTheme="minorEastAsia" w:eastAsiaTheme="minorEastAsia" w:cstheme="minorEastAsia"/>
                <w:b/>
                <w:bCs/>
                <w:color w:val="auto"/>
                <w:sz w:val="24"/>
                <w:szCs w:val="24"/>
              </w:rPr>
              <w:t>2.按病种付费。重点推进按病种分值付费工作，完善技术规范和病种库，形成本地化的病种库，加强基础数据测算和质量监控，不断提高付费精准度。</w:t>
            </w:r>
          </w:p>
          <w:p>
            <w:p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3</w:t>
            </w:r>
            <w:r>
              <w:rPr>
                <w:rFonts w:hint="default" w:asciiTheme="minorEastAsia" w:hAnsiTheme="minorEastAsia" w:eastAsiaTheme="minorEastAsia" w:cstheme="minorEastAsia"/>
                <w:b/>
                <w:bCs/>
                <w:color w:val="auto"/>
                <w:sz w:val="24"/>
                <w:szCs w:val="24"/>
              </w:rPr>
              <w:t>.按床日付费。对于精神疾病、安宁疗护、医疗康复等需要长期住院治疗且日均费用较稳定的疾病，采取按床日付费的方式。</w:t>
            </w:r>
          </w:p>
          <w:p>
            <w:p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4</w:t>
            </w:r>
            <w:r>
              <w:rPr>
                <w:rFonts w:hint="default" w:asciiTheme="minorEastAsia" w:hAnsiTheme="minorEastAsia" w:eastAsiaTheme="minorEastAsia" w:cstheme="minorEastAsia"/>
                <w:b/>
                <w:bCs/>
                <w:color w:val="auto"/>
                <w:sz w:val="24"/>
                <w:szCs w:val="24"/>
              </w:rPr>
              <w:t>.按人头付费。推广基层医疗卫生机构普通门诊按人头付费与家庭医生签约服务相结合的做法，推行糖尿病、高血压、慢性肾功能衰竭等诊疗方案、评估指标明确的慢性病按人头付费，加强慢性病管理。</w:t>
            </w:r>
          </w:p>
          <w:p>
            <w:pPr>
              <w:spacing w:line="340" w:lineRule="exact"/>
              <w:ind w:firstLine="482" w:firstLineChars="200"/>
              <w:jc w:val="left"/>
              <w:rPr>
                <w:rFonts w:hint="default"/>
                <w:color w:val="auto"/>
              </w:rPr>
            </w:pPr>
            <w:r>
              <w:rPr>
                <w:rFonts w:hint="eastAsia" w:asciiTheme="minorEastAsia" w:hAnsiTheme="minorEastAsia" w:eastAsiaTheme="minorEastAsia" w:cstheme="minorEastAsia"/>
                <w:b/>
                <w:bCs/>
                <w:color w:val="auto"/>
                <w:sz w:val="24"/>
                <w:szCs w:val="24"/>
                <w:lang w:val="en-US" w:eastAsia="zh-CN"/>
              </w:rPr>
              <w:t>5</w:t>
            </w:r>
            <w:r>
              <w:rPr>
                <w:rFonts w:hint="default" w:asciiTheme="minorEastAsia" w:hAnsiTheme="minorEastAsia" w:eastAsiaTheme="minorEastAsia" w:cstheme="minorEastAsia"/>
                <w:b/>
                <w:bCs/>
                <w:color w:val="auto"/>
                <w:sz w:val="24"/>
                <w:szCs w:val="24"/>
              </w:rPr>
              <w:t>.按项目付费。对不宜打包付费的复杂病例和门诊费用按项目付费。</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auto"/>
          <w:kern w:val="2"/>
          <w:sz w:val="32"/>
          <w:szCs w:val="32"/>
          <w:highlight w:val="green"/>
          <w:lang w:val="en-US"/>
        </w:rPr>
      </w:pPr>
    </w:p>
    <w:p>
      <w:pPr>
        <w:spacing w:line="600" w:lineRule="exact"/>
        <w:ind w:firstLine="643"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加强医保目录和两定机构协议管理。</w:t>
      </w:r>
      <w:r>
        <w:rPr>
          <w:rFonts w:hint="eastAsia" w:ascii="仿宋" w:hAnsi="仿宋" w:eastAsia="仿宋" w:cs="仿宋"/>
          <w:color w:val="auto"/>
          <w:kern w:val="2"/>
          <w:sz w:val="32"/>
          <w:szCs w:val="32"/>
          <w:lang w:val="en-US" w:eastAsia="zh-CN" w:bidi="ar"/>
        </w:rPr>
        <w:t>完善基本医疗保险用药管理政策措施，做好国家新版药品目录落地工作，完成年度省级增补药品消化任务。加强医保医用耗材、医疗服务项目管理。加强医保目录落地情况监测，进一步完善国家谈判药品供应“双通道”机制，提高医保药品可及性。加强两定机构协议管理。落实省级对医疗机构和零售药店定点管理的相关要求。建立健全跨区域就医协议管理机制。完善定点医药机构履行协议考核办法，突出行为规范、服务质量和费用控制考核评价，健全定点医药机构退出机制。规范“互联网+”医保支付工作，支持将符合条件的互联网医院纳入医保定点协议管理范围。</w:t>
      </w:r>
      <w:bookmarkStart w:id="24" w:name="_Toc7625"/>
    </w:p>
    <w:p>
      <w:pPr>
        <w:spacing w:line="600" w:lineRule="exact"/>
        <w:ind w:firstLine="643" w:firstLineChars="200"/>
        <w:rPr>
          <w:rFonts w:hint="default" w:ascii="仿宋" w:hAnsi="仿宋" w:eastAsia="仿宋" w:cs="仿宋"/>
          <w:color w:val="auto"/>
          <w:kern w:val="2"/>
          <w:sz w:val="32"/>
          <w:szCs w:val="32"/>
          <w:highlight w:val="green"/>
          <w:lang w:val="en-US" w:eastAsia="zh-CN" w:bidi="ar"/>
        </w:rPr>
      </w:pPr>
      <w:r>
        <w:rPr>
          <w:rFonts w:hint="eastAsia" w:ascii="仿宋" w:hAnsi="仿宋" w:eastAsia="仿宋" w:cs="仿宋"/>
          <w:b/>
          <w:bCs/>
          <w:color w:val="auto"/>
          <w:kern w:val="2"/>
          <w:sz w:val="32"/>
          <w:szCs w:val="32"/>
          <w:lang w:val="en-US" w:eastAsia="zh-CN" w:bidi="ar"/>
        </w:rPr>
        <w:t>完善医保基金监管体制。</w:t>
      </w:r>
      <w:r>
        <w:rPr>
          <w:rFonts w:hint="eastAsia" w:ascii="仿宋" w:hAnsi="仿宋" w:eastAsia="仿宋" w:cs="仿宋"/>
          <w:color w:val="auto"/>
          <w:kern w:val="2"/>
          <w:sz w:val="32"/>
          <w:szCs w:val="32"/>
          <w:lang w:val="en-US" w:eastAsia="zh-CN" w:bidi="ar"/>
        </w:rPr>
        <w:t>加快推进基金监管体系改革，加强基金监管专职机构建设，构建全领域、全流程、全方位的基金安全防控机制，形成以法治为保障、信用管理为基础，多形式检查、大数据监管为依托，党委领导、政府监管、社会监督、行业自律、个人守信相结合的多方位监管格局。健全市、县、乡、村四级基金监管体系，加强监管队伍建设和能力建设，严格落实属地责任。加强医疗保障公共服务机构内控机构建设，落实协议管理、费用监控、稽查审核责任。建立并完善部门间相互配合、协同监管的综合监管制度，大力推进联合执法、信息共享和互联互通，促进监管结果协同运用。积极推进异地就医协同监管制度建设，探索建立优化、协同、高效、统一的异地就医协同监管体制和运行机制，开展异地联审互查。</w:t>
      </w:r>
    </w:p>
    <w:p>
      <w:pPr>
        <w:spacing w:line="600" w:lineRule="exact"/>
        <w:ind w:firstLine="643" w:firstLineChars="200"/>
        <w:rPr>
          <w:rFonts w:hint="eastAsia" w:ascii="仿宋" w:hAnsi="仿宋" w:eastAsia="仿宋" w:cs="仿宋"/>
          <w:color w:val="auto"/>
          <w:kern w:val="2"/>
          <w:sz w:val="32"/>
          <w:szCs w:val="32"/>
          <w:highlight w:val="yellow"/>
          <w:lang w:val="en-US" w:eastAsia="zh-CN" w:bidi="ar"/>
        </w:rPr>
      </w:pPr>
      <w:r>
        <w:rPr>
          <w:rFonts w:hint="eastAsia" w:ascii="楷体" w:hAnsi="楷体" w:eastAsia="楷体" w:cs="楷体"/>
          <w:b/>
          <w:bCs/>
          <w:color w:val="auto"/>
          <w:sz w:val="32"/>
          <w:szCs w:val="32"/>
          <w:highlight w:val="none"/>
          <w:shd w:val="clear" w:color="auto" w:fill="FFFFFF"/>
          <w:lang w:val="en-US" w:eastAsia="zh-CN" w:bidi="ar"/>
        </w:rPr>
        <w:t>健全医保基金监管制度。</w:t>
      </w:r>
      <w:r>
        <w:rPr>
          <w:rFonts w:hint="eastAsia" w:ascii="仿宋" w:hAnsi="仿宋" w:eastAsia="仿宋" w:cs="仿宋"/>
          <w:color w:val="auto"/>
          <w:kern w:val="2"/>
          <w:sz w:val="32"/>
          <w:szCs w:val="32"/>
          <w:highlight w:val="none"/>
          <w:lang w:val="en-US" w:eastAsia="zh-CN" w:bidi="ar"/>
        </w:rPr>
        <w:t>落实医保基金监管相关法律法规，规范监管权限、程序、处罚标准等，推进有法可依、依法行政。建立监督检查常态化机制，以现场检查、飞行检查、交叉互查、清底彻查、专项整治等手段，推进实施医保监督检查“全覆盖”。规范举报处理流程，落实举报奖励制度，鼓励社会力量参与监管，定期收集并曝光医保基金监管典型案例。加强医保基金监管专家库建设，积极引入第三方监管力量，完善医保基金监管执法体系。实施驻点监督和联系督导，开展医保政策宣传，指导规范政策落实，了解掌握困难及建议，推动基金监管关口前移。强化部门联合监管机制，明确部门监管职责，推进部门信息共享，常态开展部门会商和联合执法，落实案件移交移送制度。</w:t>
      </w:r>
    </w:p>
    <w:tbl>
      <w:tblPr>
        <w:tblStyle w:val="9"/>
        <w:tblpPr w:leftFromText="180" w:rightFromText="180" w:vertAnchor="text" w:horzAnchor="page" w:tblpX="1554" w:tblpY="510"/>
        <w:tblOverlap w:val="never"/>
        <w:tblW w:w="8900" w:type="dxa"/>
        <w:jc w:val="center"/>
        <w:tblInd w:w="0" w:type="dxa"/>
        <w:tblLayout w:type="fixed"/>
        <w:tblCellMar>
          <w:top w:w="0" w:type="dxa"/>
          <w:left w:w="0" w:type="dxa"/>
          <w:bottom w:w="0" w:type="dxa"/>
          <w:right w:w="0" w:type="dxa"/>
        </w:tblCellMar>
      </w:tblPr>
      <w:tblGrid>
        <w:gridCol w:w="8900"/>
      </w:tblGrid>
      <w:tr>
        <w:tblPrEx>
          <w:tblLayout w:type="fixed"/>
          <w:tblCellMar>
            <w:top w:w="0" w:type="dxa"/>
            <w:left w:w="0" w:type="dxa"/>
            <w:bottom w:w="0" w:type="dxa"/>
            <w:right w:w="0" w:type="dxa"/>
          </w:tblCellMar>
        </w:tblPrEx>
        <w:trPr>
          <w:trHeight w:val="456" w:hRule="atLeast"/>
          <w:jc w:val="center"/>
        </w:trPr>
        <w:tc>
          <w:tcPr>
            <w:tcW w:w="8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color w:val="auto"/>
                <w:sz w:val="28"/>
                <w:szCs w:val="28"/>
                <w:highlight w:val="none"/>
              </w:rPr>
            </w:pPr>
            <w:r>
              <w:rPr>
                <w:rFonts w:hint="default" w:ascii="Times New Roman" w:hAnsi="Times New Roman" w:eastAsia="黑体" w:cs="Times New Roman"/>
                <w:bCs/>
                <w:color w:val="auto"/>
                <w:kern w:val="0"/>
                <w:sz w:val="30"/>
                <w:szCs w:val="30"/>
                <w:highlight w:val="none"/>
                <w:lang w:val="en-US" w:eastAsia="zh-CN"/>
              </w:rPr>
              <w:t>专栏</w:t>
            </w:r>
            <w:r>
              <w:rPr>
                <w:rFonts w:hint="eastAsia" w:ascii="Times New Roman" w:hAnsi="Times New Roman" w:eastAsia="黑体" w:cs="Times New Roman"/>
                <w:bCs/>
                <w:color w:val="auto"/>
                <w:kern w:val="0"/>
                <w:sz w:val="30"/>
                <w:szCs w:val="30"/>
                <w:highlight w:val="none"/>
                <w:lang w:val="en-US" w:eastAsia="zh-CN"/>
              </w:rPr>
              <w:t>4</w:t>
            </w:r>
            <w:r>
              <w:rPr>
                <w:rFonts w:hint="default" w:ascii="Times New Roman" w:hAnsi="Times New Roman" w:eastAsia="黑体" w:cs="Times New Roman"/>
                <w:bCs/>
                <w:color w:val="auto"/>
                <w:kern w:val="0"/>
                <w:sz w:val="30"/>
                <w:szCs w:val="30"/>
                <w:highlight w:val="none"/>
                <w:lang w:val="en-US" w:eastAsia="zh-CN"/>
              </w:rPr>
              <w:t xml:space="preserve">  医保基金监管全覆盖工程</w:t>
            </w:r>
            <w:r>
              <w:rPr>
                <w:rFonts w:hint="eastAsia" w:ascii="Times New Roman" w:hAnsi="Times New Roman" w:eastAsia="黑体" w:cs="Times New Roman"/>
                <w:bCs/>
                <w:color w:val="auto"/>
                <w:kern w:val="0"/>
                <w:sz w:val="30"/>
                <w:szCs w:val="30"/>
                <w:highlight w:val="none"/>
                <w:lang w:val="en-US" w:eastAsia="zh-CN"/>
              </w:rPr>
              <w:t xml:space="preserve"> </w:t>
            </w:r>
          </w:p>
        </w:tc>
      </w:tr>
      <w:tr>
        <w:tblPrEx>
          <w:tblLayout w:type="fixed"/>
          <w:tblCellMar>
            <w:top w:w="0" w:type="dxa"/>
            <w:left w:w="0" w:type="dxa"/>
            <w:bottom w:w="0" w:type="dxa"/>
            <w:right w:w="0" w:type="dxa"/>
          </w:tblCellMar>
        </w:tblPrEx>
        <w:trPr>
          <w:trHeight w:val="312" w:hRule="atLeast"/>
          <w:jc w:val="center"/>
        </w:trPr>
        <w:tc>
          <w:tcPr>
            <w:tcW w:w="890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5"/>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textAlignment w:val="auto"/>
              <w:rPr>
                <w:rFonts w:hint="default" w:asciiTheme="minorEastAsia" w:hAnsiTheme="minorEastAsia" w:eastAsiaTheme="minorEastAsia" w:cstheme="minorEastAsia"/>
                <w:b/>
                <w:bCs/>
                <w:color w:val="auto"/>
                <w:kern w:val="2"/>
                <w:sz w:val="24"/>
                <w:szCs w:val="24"/>
                <w:highlight w:val="none"/>
                <w:lang w:val="en-US" w:eastAsia="zh-CN" w:bidi="ar-SA"/>
              </w:rPr>
            </w:pPr>
            <w:r>
              <w:rPr>
                <w:rFonts w:hint="default" w:asciiTheme="minorEastAsia" w:hAnsiTheme="minorEastAsia" w:eastAsiaTheme="minorEastAsia" w:cstheme="minorEastAsia"/>
                <w:b/>
                <w:bCs/>
                <w:color w:val="auto"/>
                <w:kern w:val="2"/>
                <w:sz w:val="24"/>
                <w:szCs w:val="24"/>
                <w:highlight w:val="none"/>
                <w:lang w:val="en-US" w:eastAsia="zh-CN" w:bidi="ar-SA"/>
              </w:rPr>
              <w:t xml:space="preserve">1.系统监控全覆盖。以智能监控为依托，完善智能监控规则，提升智能监控功能，实现医保基金使用事前、事中和事后全流程监管。    </w:t>
            </w:r>
          </w:p>
          <w:p>
            <w:pPr>
              <w:pStyle w:val="15"/>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textAlignment w:val="auto"/>
              <w:rPr>
                <w:rFonts w:hint="default" w:asciiTheme="minorEastAsia" w:hAnsiTheme="minorEastAsia" w:eastAsiaTheme="minorEastAsia" w:cstheme="minorEastAsia"/>
                <w:b/>
                <w:bCs/>
                <w:color w:val="auto"/>
                <w:kern w:val="2"/>
                <w:sz w:val="24"/>
                <w:szCs w:val="24"/>
                <w:highlight w:val="none"/>
                <w:lang w:val="en-US" w:eastAsia="zh-CN" w:bidi="ar-SA"/>
              </w:rPr>
            </w:pPr>
            <w:r>
              <w:rPr>
                <w:rFonts w:hint="default" w:asciiTheme="minorEastAsia" w:hAnsiTheme="minorEastAsia" w:eastAsiaTheme="minorEastAsia" w:cstheme="minorEastAsia"/>
                <w:b/>
                <w:bCs/>
                <w:color w:val="auto"/>
                <w:kern w:val="2"/>
                <w:sz w:val="24"/>
                <w:szCs w:val="24"/>
                <w:highlight w:val="none"/>
                <w:lang w:val="en-US" w:eastAsia="zh-CN" w:bidi="ar-SA"/>
              </w:rPr>
              <w:t>2.现场检查全覆盖。健全常态化日常监管工作机制，各级医保部门统筹经办机构力量，每年对区域内定点医药机构至少开展一次全覆盖现场检查。</w:t>
            </w:r>
            <w:r>
              <w:rPr>
                <w:rFonts w:hint="eastAsia" w:asciiTheme="minorEastAsia" w:hAnsiTheme="minorEastAsia" w:eastAsiaTheme="minorEastAsia" w:cstheme="minorEastAsia"/>
                <w:b/>
                <w:bCs/>
                <w:color w:val="auto"/>
                <w:kern w:val="2"/>
                <w:sz w:val="24"/>
                <w:szCs w:val="24"/>
                <w:highlight w:val="none"/>
                <w:lang w:val="en-US" w:eastAsia="zh-CN" w:bidi="ar-SA"/>
              </w:rPr>
              <w:t>市</w:t>
            </w:r>
            <w:r>
              <w:rPr>
                <w:rFonts w:hint="default" w:asciiTheme="minorEastAsia" w:hAnsiTheme="minorEastAsia" w:eastAsiaTheme="minorEastAsia" w:cstheme="minorEastAsia"/>
                <w:b/>
                <w:bCs/>
                <w:color w:val="auto"/>
                <w:kern w:val="2"/>
                <w:sz w:val="24"/>
                <w:szCs w:val="24"/>
                <w:highlight w:val="none"/>
                <w:lang w:val="en-US" w:eastAsia="zh-CN" w:bidi="ar-SA"/>
              </w:rPr>
              <w:t>医保局对各县</w:t>
            </w:r>
            <w:r>
              <w:rPr>
                <w:rFonts w:hint="eastAsia" w:asciiTheme="minorEastAsia" w:hAnsiTheme="minorEastAsia" w:eastAsiaTheme="minorEastAsia" w:cstheme="minorEastAsia"/>
                <w:b/>
                <w:bCs/>
                <w:color w:val="auto"/>
                <w:kern w:val="2"/>
                <w:sz w:val="24"/>
                <w:szCs w:val="24"/>
                <w:highlight w:val="none"/>
                <w:lang w:val="en-US" w:eastAsia="zh-CN" w:bidi="ar-SA"/>
              </w:rPr>
              <w:t>区</w:t>
            </w:r>
            <w:r>
              <w:rPr>
                <w:rFonts w:hint="default" w:asciiTheme="minorEastAsia" w:hAnsiTheme="minorEastAsia" w:eastAsiaTheme="minorEastAsia" w:cstheme="minorEastAsia"/>
                <w:b/>
                <w:bCs/>
                <w:color w:val="auto"/>
                <w:kern w:val="2"/>
                <w:sz w:val="24"/>
                <w:szCs w:val="24"/>
                <w:highlight w:val="none"/>
                <w:lang w:val="en-US" w:eastAsia="zh-CN" w:bidi="ar-SA"/>
              </w:rPr>
              <w:t xml:space="preserve">全覆盖检查落实情况进行抽查。    </w:t>
            </w:r>
          </w:p>
          <w:p>
            <w:pPr>
              <w:pStyle w:val="15"/>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textAlignment w:val="auto"/>
              <w:rPr>
                <w:rFonts w:hint="default" w:asciiTheme="minorEastAsia" w:hAnsiTheme="minorEastAsia" w:eastAsiaTheme="minorEastAsia" w:cstheme="minorEastAsia"/>
                <w:b/>
                <w:bCs/>
                <w:color w:val="auto"/>
                <w:kern w:val="2"/>
                <w:sz w:val="24"/>
                <w:szCs w:val="24"/>
                <w:highlight w:val="none"/>
                <w:lang w:val="en-US" w:eastAsia="zh-CN" w:bidi="ar-SA"/>
              </w:rPr>
            </w:pPr>
            <w:r>
              <w:rPr>
                <w:rFonts w:hint="default" w:asciiTheme="minorEastAsia" w:hAnsiTheme="minorEastAsia" w:eastAsiaTheme="minorEastAsia" w:cstheme="minorEastAsia"/>
                <w:b/>
                <w:bCs/>
                <w:color w:val="auto"/>
                <w:kern w:val="2"/>
                <w:sz w:val="24"/>
                <w:szCs w:val="24"/>
                <w:highlight w:val="none"/>
                <w:lang w:val="en-US" w:eastAsia="zh-CN" w:bidi="ar-SA"/>
              </w:rPr>
              <w:t>3.交叉互查全覆盖。按照交叉互查办法，针对智能监控、数据筛查和投诉举报反映医保基金可能存在安全风险的，采取“四不两直”方式，开展交叉检查、突击检查。。</w:t>
            </w:r>
            <w:r>
              <w:rPr>
                <w:rFonts w:hint="default" w:asciiTheme="minorEastAsia" w:hAnsiTheme="minorEastAsia" w:eastAsiaTheme="minorEastAsia" w:cstheme="minorEastAsia"/>
                <w:b/>
                <w:bCs/>
                <w:color w:val="auto"/>
                <w:kern w:val="2"/>
                <w:sz w:val="24"/>
                <w:szCs w:val="24"/>
                <w:highlight w:val="none"/>
                <w:lang w:val="en-US" w:eastAsia="zh-CN" w:bidi="ar-SA"/>
              </w:rPr>
              <w:br w:type="textWrapping"/>
            </w:r>
            <w:r>
              <w:rPr>
                <w:rFonts w:hint="default" w:asciiTheme="minorEastAsia" w:hAnsiTheme="minorEastAsia" w:eastAsiaTheme="minorEastAsia" w:cstheme="minorEastAsia"/>
                <w:b/>
                <w:bCs/>
                <w:color w:val="auto"/>
                <w:kern w:val="2"/>
                <w:sz w:val="24"/>
                <w:szCs w:val="24"/>
                <w:highlight w:val="none"/>
                <w:lang w:val="en-US" w:eastAsia="zh-CN" w:bidi="ar-SA"/>
              </w:rPr>
              <w:t xml:space="preserve">    4.社会监督全覆盖。畅通优化电话、网站、微信等举报渠道，完善举报奖励机制，有效举报线索凡接必查，实名举报查实必奖。动员社会力量参与监管，强化社会监督员队伍建设。借助第三方力量监管，以政府购买服务的形式常态化引入第三方力量参与监管。定期曝光典型案例，增强震慑效应。</w:t>
            </w:r>
          </w:p>
          <w:p>
            <w:pPr>
              <w:pStyle w:val="15"/>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textAlignment w:val="auto"/>
              <w:rPr>
                <w:rFonts w:hint="default" w:asciiTheme="minorEastAsia" w:hAnsiTheme="minorEastAsia" w:eastAsiaTheme="minorEastAsia" w:cstheme="minorEastAsia"/>
                <w:b/>
                <w:bCs/>
                <w:color w:val="auto"/>
                <w:kern w:val="2"/>
                <w:sz w:val="24"/>
                <w:szCs w:val="24"/>
                <w:highlight w:val="none"/>
                <w:lang w:val="en-US" w:eastAsia="zh-CN" w:bidi="ar-SA"/>
              </w:rPr>
            </w:pPr>
            <w:r>
              <w:rPr>
                <w:rFonts w:hint="default" w:asciiTheme="minorEastAsia" w:hAnsiTheme="minorEastAsia" w:eastAsiaTheme="minorEastAsia" w:cstheme="minorEastAsia"/>
                <w:b/>
                <w:bCs/>
                <w:color w:val="auto"/>
                <w:kern w:val="2"/>
                <w:sz w:val="24"/>
                <w:szCs w:val="24"/>
                <w:highlight w:val="none"/>
                <w:lang w:val="en-US" w:eastAsia="zh-CN" w:bidi="ar-SA"/>
              </w:rPr>
              <w:t>5.监管责任全覆盖。健全基金监管执法体系，强化监管责任，合理调配监管力量。加强医疗保障部门与卫生健康、市场监管、公安、审计等部门以及纪检监察机关的协同配合，健全协同执法、一案多处工作机制。</w:t>
            </w:r>
          </w:p>
          <w:p>
            <w:pPr>
              <w:pStyle w:val="15"/>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color w:val="auto"/>
                <w:sz w:val="28"/>
                <w:szCs w:val="28"/>
                <w:highlight w:val="none"/>
                <w:lang w:eastAsia="zh-CN"/>
              </w:rPr>
            </w:pPr>
            <w:r>
              <w:rPr>
                <w:rFonts w:hint="default" w:asciiTheme="minorEastAsia" w:hAnsiTheme="minorEastAsia" w:eastAsiaTheme="minorEastAsia" w:cstheme="minorEastAsia"/>
                <w:b/>
                <w:bCs/>
                <w:color w:val="auto"/>
                <w:kern w:val="2"/>
                <w:sz w:val="24"/>
                <w:szCs w:val="24"/>
                <w:highlight w:val="none"/>
                <w:lang w:val="en-US" w:eastAsia="zh-CN" w:bidi="ar-SA"/>
              </w:rPr>
              <w:t>6.机构建设全覆盖。优化医保基金监管机构编制保障，通过定期学习、短期培训、案例研讨等形式，加强医保基金监管人员力量，提升医保基金监管队伍能力水平。</w:t>
            </w:r>
          </w:p>
        </w:tc>
      </w:tr>
      <w:tr>
        <w:tblPrEx>
          <w:tblLayout w:type="fixed"/>
          <w:tblCellMar>
            <w:top w:w="0" w:type="dxa"/>
            <w:left w:w="0" w:type="dxa"/>
            <w:bottom w:w="0" w:type="dxa"/>
            <w:right w:w="0" w:type="dxa"/>
          </w:tblCellMar>
        </w:tblPrEx>
        <w:trPr>
          <w:trHeight w:val="312" w:hRule="atLeast"/>
          <w:jc w:val="center"/>
        </w:trPr>
        <w:tc>
          <w:tcPr>
            <w:tcW w:w="890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highlight w:val="none"/>
              </w:rPr>
            </w:pPr>
          </w:p>
        </w:tc>
      </w:tr>
      <w:tr>
        <w:tblPrEx>
          <w:tblLayout w:type="fixed"/>
          <w:tblCellMar>
            <w:top w:w="0" w:type="dxa"/>
            <w:left w:w="0" w:type="dxa"/>
            <w:bottom w:w="0" w:type="dxa"/>
            <w:right w:w="0" w:type="dxa"/>
          </w:tblCellMar>
        </w:tblPrEx>
        <w:trPr>
          <w:trHeight w:val="312" w:hRule="atLeast"/>
          <w:jc w:val="center"/>
        </w:trPr>
        <w:tc>
          <w:tcPr>
            <w:tcW w:w="890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highlight w:val="none"/>
              </w:rPr>
            </w:pPr>
          </w:p>
        </w:tc>
      </w:tr>
      <w:tr>
        <w:tblPrEx>
          <w:tblLayout w:type="fixed"/>
          <w:tblCellMar>
            <w:top w:w="0" w:type="dxa"/>
            <w:left w:w="0" w:type="dxa"/>
            <w:bottom w:w="0" w:type="dxa"/>
            <w:right w:w="0" w:type="dxa"/>
          </w:tblCellMar>
        </w:tblPrEx>
        <w:trPr>
          <w:trHeight w:val="312" w:hRule="atLeast"/>
          <w:jc w:val="center"/>
        </w:trPr>
        <w:tc>
          <w:tcPr>
            <w:tcW w:w="890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highlight w:val="none"/>
              </w:rPr>
            </w:pPr>
          </w:p>
        </w:tc>
      </w:tr>
      <w:tr>
        <w:tblPrEx>
          <w:tblLayout w:type="fixed"/>
          <w:tblCellMar>
            <w:top w:w="0" w:type="dxa"/>
            <w:left w:w="0" w:type="dxa"/>
            <w:bottom w:w="0" w:type="dxa"/>
            <w:right w:w="0" w:type="dxa"/>
          </w:tblCellMar>
        </w:tblPrEx>
        <w:trPr>
          <w:trHeight w:val="312" w:hRule="atLeast"/>
          <w:jc w:val="center"/>
        </w:trPr>
        <w:tc>
          <w:tcPr>
            <w:tcW w:w="890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highlight w:val="none"/>
              </w:rPr>
            </w:pPr>
          </w:p>
        </w:tc>
      </w:tr>
      <w:tr>
        <w:tblPrEx>
          <w:tblLayout w:type="fixed"/>
          <w:tblCellMar>
            <w:top w:w="0" w:type="dxa"/>
            <w:left w:w="0" w:type="dxa"/>
            <w:bottom w:w="0" w:type="dxa"/>
            <w:right w:w="0" w:type="dxa"/>
          </w:tblCellMar>
        </w:tblPrEx>
        <w:trPr>
          <w:trHeight w:val="312" w:hRule="atLeast"/>
          <w:jc w:val="center"/>
        </w:trPr>
        <w:tc>
          <w:tcPr>
            <w:tcW w:w="890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highlight w:val="none"/>
              </w:rPr>
            </w:pPr>
          </w:p>
        </w:tc>
      </w:tr>
      <w:tr>
        <w:tblPrEx>
          <w:tblLayout w:type="fixed"/>
          <w:tblCellMar>
            <w:top w:w="0" w:type="dxa"/>
            <w:left w:w="0" w:type="dxa"/>
            <w:bottom w:w="0" w:type="dxa"/>
            <w:right w:w="0" w:type="dxa"/>
          </w:tblCellMar>
        </w:tblPrEx>
        <w:trPr>
          <w:trHeight w:val="312" w:hRule="atLeast"/>
          <w:jc w:val="center"/>
        </w:trPr>
        <w:tc>
          <w:tcPr>
            <w:tcW w:w="890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highlight w:val="none"/>
              </w:rPr>
            </w:pPr>
          </w:p>
        </w:tc>
      </w:tr>
      <w:tr>
        <w:tblPrEx>
          <w:tblLayout w:type="fixed"/>
          <w:tblCellMar>
            <w:top w:w="0" w:type="dxa"/>
            <w:left w:w="0" w:type="dxa"/>
            <w:bottom w:w="0" w:type="dxa"/>
            <w:right w:w="0" w:type="dxa"/>
          </w:tblCellMar>
        </w:tblPrEx>
        <w:trPr>
          <w:trHeight w:val="312" w:hRule="atLeast"/>
          <w:jc w:val="center"/>
        </w:trPr>
        <w:tc>
          <w:tcPr>
            <w:tcW w:w="890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highlight w:val="none"/>
              </w:rPr>
            </w:pPr>
          </w:p>
        </w:tc>
      </w:tr>
      <w:tr>
        <w:tblPrEx>
          <w:tblLayout w:type="fixed"/>
          <w:tblCellMar>
            <w:top w:w="0" w:type="dxa"/>
            <w:left w:w="0" w:type="dxa"/>
            <w:bottom w:w="0" w:type="dxa"/>
            <w:right w:w="0" w:type="dxa"/>
          </w:tblCellMar>
        </w:tblPrEx>
        <w:trPr>
          <w:trHeight w:val="312" w:hRule="atLeast"/>
          <w:jc w:val="center"/>
        </w:trPr>
        <w:tc>
          <w:tcPr>
            <w:tcW w:w="890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highlight w:val="none"/>
              </w:rPr>
            </w:pPr>
          </w:p>
        </w:tc>
      </w:tr>
      <w:tr>
        <w:tblPrEx>
          <w:tblLayout w:type="fixed"/>
          <w:tblCellMar>
            <w:top w:w="0" w:type="dxa"/>
            <w:left w:w="0" w:type="dxa"/>
            <w:bottom w:w="0" w:type="dxa"/>
            <w:right w:w="0" w:type="dxa"/>
          </w:tblCellMar>
        </w:tblPrEx>
        <w:trPr>
          <w:trHeight w:val="2713" w:hRule="atLeast"/>
          <w:jc w:val="center"/>
        </w:trPr>
        <w:tc>
          <w:tcPr>
            <w:tcW w:w="890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highlight w:val="none"/>
              </w:rPr>
            </w:pPr>
          </w:p>
        </w:tc>
      </w:tr>
    </w:tbl>
    <w:p>
      <w:pPr>
        <w:spacing w:line="600" w:lineRule="exact"/>
        <w:ind w:firstLine="643" w:firstLineChars="200"/>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b/>
          <w:bCs/>
          <w:color w:val="auto"/>
          <w:kern w:val="2"/>
          <w:sz w:val="32"/>
          <w:szCs w:val="32"/>
          <w:highlight w:val="none"/>
          <w:lang w:val="en-US" w:eastAsia="zh-CN" w:bidi="ar"/>
        </w:rPr>
        <w:t>创新医保基金监管方式。</w:t>
      </w:r>
      <w:r>
        <w:rPr>
          <w:rFonts w:hint="eastAsia" w:ascii="仿宋" w:hAnsi="仿宋" w:eastAsia="仿宋" w:cs="仿宋"/>
          <w:color w:val="auto"/>
          <w:kern w:val="2"/>
          <w:sz w:val="32"/>
          <w:szCs w:val="32"/>
          <w:highlight w:val="none"/>
          <w:lang w:val="en-US" w:eastAsia="zh-CN" w:bidi="ar"/>
        </w:rPr>
        <w:t>建立统一、高效、兼容、便捷、安全的医保智能监控系统。不断完善药品、诊疗项目、医用耗材及医疗服务设施等基础信息标准库和临床指南等医学知识库，完善智能监控规则，提升智能监控效能，实现医保基金使用事前、事中、事后全流程监管。推进医疗保障信用体系建设，完善医疗保障信用管理制度，探索实施定点医药机构和参保人员医保信用评价和积分管理模式。以信用管理为目标，以评价结果为依据，以积分管理为手段，采取差异化监管措施，推动实施分级分类监管。将医疗保障信用体系纳入全省信用体系统筹建设，依法依规开展医疗保障领域守信联合激励和失信联合惩戒。推动医药机构加强自我管理，鼓励医疗、医药、医师、医保等行业协会开展自律建设，促进行业规范发展。</w:t>
      </w:r>
    </w:p>
    <w:p>
      <w:pPr>
        <w:spacing w:line="600" w:lineRule="exact"/>
        <w:ind w:firstLine="640" w:firstLineChars="200"/>
        <w:rPr>
          <w:rFonts w:hint="eastAsia" w:ascii="仿宋" w:hAnsi="仿宋" w:eastAsia="仿宋" w:cs="仿宋"/>
          <w:color w:val="auto"/>
          <w:kern w:val="2"/>
          <w:sz w:val="32"/>
          <w:szCs w:val="32"/>
          <w:highlight w:val="none"/>
          <w:lang w:val="en-US" w:eastAsia="zh-CN" w:bidi="ar"/>
        </w:rPr>
      </w:pPr>
    </w:p>
    <w:p>
      <w:pPr>
        <w:spacing w:line="600" w:lineRule="exact"/>
        <w:ind w:firstLine="643" w:firstLineChars="200"/>
        <w:rPr>
          <w:rFonts w:hint="default"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推进完善医药价格形成机制。</w:t>
      </w:r>
      <w:r>
        <w:rPr>
          <w:rFonts w:hint="eastAsia" w:ascii="仿宋" w:hAnsi="仿宋" w:eastAsia="仿宋" w:cs="仿宋"/>
          <w:color w:val="auto"/>
          <w:kern w:val="2"/>
          <w:sz w:val="32"/>
          <w:szCs w:val="32"/>
          <w:lang w:val="en-US" w:eastAsia="zh-CN" w:bidi="ar"/>
        </w:rPr>
        <w:t>常态化制度化落实国家和省组织药品和高值医用耗材集中带量采购政策，探索开展联盟采购，持续扩大集中带量采购范围。细化与集中带量采购相配套的激励约束机制，落实医保资金结余留用政策，推动集中带量采购成为公立医疗机构医药采购的主导模式，鼓励社会办医疗机构、定点零售药店参与集中带量采购。探索推进医保基金与医药企业直接结算。强化公立医疗机构药品和医用耗材价格常态化监管，提升对药品和医用耗材价格异常变动的分析预警应对能力，全面落实医药价格和招采信用评价制度，遏制药品和医用耗材价格虚高，兼顾企业合理利润，促进医药行业高质量发展。加强医疗服务价格管理，逐步完善定调价规则，改革优化定调价程序，探索适应经济社会发展、更好发挥政府作用、医疗机构充分参与、体现技术劳务价值的医疗服务价格形成机制。探索建立灵敏有度的动态调整机制，发挥价格合理补偿功能，稳定调价预期。</w:t>
      </w:r>
    </w:p>
    <w:tbl>
      <w:tblPr>
        <w:tblStyle w:val="9"/>
        <w:tblpPr w:leftFromText="180" w:rightFromText="180" w:vertAnchor="text" w:horzAnchor="page" w:tblpX="1379" w:tblpY="266"/>
        <w:tblOverlap w:val="never"/>
        <w:tblW w:w="938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
      <w:tblGrid>
        <w:gridCol w:w="9388"/>
      </w:tblGrid>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trPr>
        <w:tc>
          <w:tcPr>
            <w:tcW w:w="9388" w:type="dxa"/>
            <w:tcBorders>
              <w:tl2br w:val="nil"/>
              <w:tr2bl w:val="nil"/>
            </w:tcBorders>
            <w:tcMar>
              <w:top w:w="12" w:type="dxa"/>
              <w:left w:w="12" w:type="dxa"/>
              <w:right w:w="12" w:type="dxa"/>
            </w:tcMar>
            <w:vAlign w:val="center"/>
          </w:tcPr>
          <w:p>
            <w:pPr>
              <w:widowControl/>
              <w:spacing w:line="340" w:lineRule="exact"/>
              <w:jc w:val="center"/>
              <w:textAlignment w:val="center"/>
              <w:rPr>
                <w:rFonts w:hint="eastAsia" w:ascii="宋体" w:hAnsi="宋体" w:eastAsia="黑体"/>
                <w:color w:val="auto"/>
                <w:sz w:val="28"/>
                <w:lang w:eastAsia="zh-CN"/>
              </w:rPr>
            </w:pPr>
            <w:r>
              <w:rPr>
                <w:rFonts w:hint="default" w:ascii="Times New Roman" w:hAnsi="Times New Roman" w:eastAsia="黑体"/>
                <w:bCs/>
                <w:color w:val="auto"/>
                <w:kern w:val="0"/>
                <w:sz w:val="30"/>
                <w:szCs w:val="30"/>
              </w:rPr>
              <w:t>专栏</w:t>
            </w:r>
            <w:r>
              <w:rPr>
                <w:rFonts w:hint="eastAsia" w:ascii="Times New Roman" w:hAnsi="Times New Roman" w:eastAsia="黑体"/>
                <w:bCs/>
                <w:color w:val="auto"/>
                <w:kern w:val="0"/>
                <w:sz w:val="30"/>
                <w:szCs w:val="30"/>
                <w:lang w:val="en-US" w:eastAsia="zh-CN"/>
              </w:rPr>
              <w:t>5</w:t>
            </w:r>
            <w:r>
              <w:rPr>
                <w:rFonts w:hint="default" w:ascii="Times New Roman" w:hAnsi="Times New Roman" w:eastAsia="黑体"/>
                <w:bCs/>
                <w:color w:val="auto"/>
                <w:kern w:val="0"/>
                <w:sz w:val="30"/>
                <w:szCs w:val="30"/>
              </w:rPr>
              <w:t xml:space="preserve">  医药价格监测</w:t>
            </w:r>
            <w:r>
              <w:rPr>
                <w:rFonts w:hint="eastAsia" w:ascii="Times New Roman" w:hAnsi="Times New Roman" w:eastAsia="黑体"/>
                <w:bCs/>
                <w:color w:val="auto"/>
                <w:kern w:val="0"/>
                <w:sz w:val="30"/>
                <w:szCs w:val="30"/>
                <w:lang w:val="en-US" w:eastAsia="zh-CN"/>
              </w:rPr>
              <w:t>机制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trPr>
        <w:tc>
          <w:tcPr>
            <w:tcW w:w="9388" w:type="dxa"/>
            <w:tcBorders>
              <w:tl2br w:val="nil"/>
              <w:tr2bl w:val="nil"/>
            </w:tcBorders>
            <w:tcMar>
              <w:top w:w="12" w:type="dxa"/>
              <w:left w:w="12" w:type="dxa"/>
              <w:right w:w="12" w:type="dxa"/>
            </w:tcMar>
            <w:vAlign w:val="center"/>
          </w:tcPr>
          <w:p>
            <w:p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1.</w:t>
            </w:r>
            <w:r>
              <w:rPr>
                <w:rFonts w:hint="default" w:asciiTheme="minorEastAsia" w:hAnsiTheme="minorEastAsia" w:eastAsiaTheme="minorEastAsia" w:cstheme="minorEastAsia"/>
                <w:b/>
                <w:bCs/>
                <w:color w:val="auto"/>
                <w:sz w:val="24"/>
                <w:szCs w:val="24"/>
              </w:rPr>
              <w:t>完善监测体系，强化监测制度保障。开展普遍监测与深度监测相结合，多维度、多主体的连续监测。</w:t>
            </w:r>
          </w:p>
          <w:p>
            <w:p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2.</w:t>
            </w:r>
            <w:r>
              <w:rPr>
                <w:rFonts w:hint="default" w:asciiTheme="minorEastAsia" w:hAnsiTheme="minorEastAsia" w:eastAsiaTheme="minorEastAsia" w:cstheme="minorEastAsia"/>
                <w:b/>
                <w:bCs/>
                <w:color w:val="auto"/>
                <w:sz w:val="24"/>
                <w:szCs w:val="24"/>
              </w:rPr>
              <w:t>扩大监测范围和内容。实现以公立医院监测为主，逐步向社会办医、零售药店等方面延伸。</w:t>
            </w:r>
          </w:p>
          <w:p>
            <w:pPr>
              <w:spacing w:line="340" w:lineRule="exact"/>
              <w:ind w:firstLine="482" w:firstLineChars="200"/>
              <w:jc w:val="left"/>
              <w:rPr>
                <w:rFonts w:hint="default" w:eastAsiaTheme="minorEastAsia"/>
                <w:color w:val="auto"/>
                <w:sz w:val="24"/>
                <w:szCs w:val="24"/>
                <w:lang w:val="en-US" w:eastAsia="zh-CN"/>
              </w:rPr>
            </w:pPr>
            <w:r>
              <w:rPr>
                <w:rFonts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sz w:val="24"/>
                <w:szCs w:val="24"/>
                <w:lang w:val="en-US" w:eastAsia="zh-CN"/>
              </w:rPr>
              <w:t>加强医药价格监测建设，充实监测力量，完善监测指标报告制度，提升价格监测能力。</w:t>
            </w:r>
          </w:p>
        </w:tc>
      </w:tr>
    </w:tbl>
    <w:p>
      <w:pPr>
        <w:spacing w:line="600" w:lineRule="exact"/>
        <w:ind w:firstLine="640" w:firstLineChars="200"/>
        <w:rPr>
          <w:rFonts w:hint="default" w:ascii="仿宋" w:hAnsi="仿宋" w:eastAsia="仿宋" w:cs="仿宋"/>
          <w:color w:val="auto"/>
          <w:kern w:val="2"/>
          <w:sz w:val="32"/>
          <w:szCs w:val="32"/>
          <w:lang w:val="en-US" w:eastAsia="zh-CN" w:bidi="ar"/>
        </w:rPr>
      </w:pPr>
    </w:p>
    <w:p>
      <w:pPr>
        <w:pStyle w:val="8"/>
        <w:widowControl/>
        <w:numPr>
          <w:ilvl w:val="0"/>
          <w:numId w:val="0"/>
        </w:numPr>
        <w:spacing w:beforeAutospacing="0" w:afterAutospacing="0" w:line="592" w:lineRule="atLeast"/>
        <w:ind w:firstLine="643" w:firstLineChars="200"/>
        <w:jc w:val="both"/>
        <w:rPr>
          <w:rFonts w:hint="default" w:ascii="楷体" w:hAnsi="楷体" w:eastAsia="楷体" w:cs="Times New Roman"/>
          <w:b/>
          <w:color w:val="auto"/>
          <w:kern w:val="2"/>
          <w:sz w:val="32"/>
          <w:szCs w:val="32"/>
          <w:lang w:val="en-US" w:eastAsia="zh-CN"/>
        </w:rPr>
      </w:pPr>
      <w:r>
        <w:rPr>
          <w:rFonts w:hint="eastAsia" w:ascii="仿宋" w:hAnsi="仿宋" w:eastAsia="仿宋" w:cs="仿宋"/>
          <w:b/>
          <w:bCs/>
          <w:color w:val="auto"/>
          <w:kern w:val="2"/>
          <w:sz w:val="32"/>
          <w:szCs w:val="32"/>
          <w:lang w:val="en-US" w:eastAsia="zh-CN" w:bidi="ar"/>
        </w:rPr>
        <w:t>探索开展长期护理保险。</w:t>
      </w:r>
      <w:r>
        <w:rPr>
          <w:rFonts w:hint="eastAsia" w:ascii="仿宋" w:hAnsi="仿宋" w:eastAsia="仿宋" w:cs="仿宋"/>
          <w:color w:val="auto"/>
          <w:kern w:val="2"/>
          <w:sz w:val="32"/>
          <w:szCs w:val="32"/>
          <w:lang w:val="en-US" w:eastAsia="zh-CN" w:bidi="ar"/>
        </w:rPr>
        <w:t>减轻失能群体经济和事务性负担，试点阶段从职工基本医疗保险参保人群起步，重点解决重度失能人员基本护理保障需求，探索建立互助共济、责任共担的多渠道筹资机制，参加长期护理保险的职工筹资以单位和个人缴费为主。建立公平适度的待遇保障机制，制定长期护理保险基本保障项目，合理确定待遇保障范围和基金支付水平。健全长期护理保险失能评估、协议管理、经办服务体系，引入社会力量参与长期护理保险经办服务。</w:t>
      </w:r>
    </w:p>
    <w:p>
      <w:pPr>
        <w:pStyle w:val="3"/>
        <w:spacing w:beforeAutospacing="0" w:afterAutospacing="0"/>
        <w:ind w:firstLine="643" w:firstLineChars="200"/>
        <w:jc w:val="both"/>
        <w:rPr>
          <w:rFonts w:hint="eastAsia" w:ascii="方正楷体_GBK" w:hAnsi="方正楷体_GBK" w:eastAsia="方正楷体_GBK" w:cs="方正楷体_GBK"/>
          <w:color w:val="auto"/>
          <w:sz w:val="32"/>
          <w:szCs w:val="32"/>
          <w:lang w:val="en-US" w:eastAsia="zh-CN"/>
        </w:rPr>
      </w:pPr>
      <w:bookmarkStart w:id="25" w:name="_Toc8527"/>
      <w:r>
        <w:rPr>
          <w:rFonts w:hint="eastAsia" w:ascii="方正楷体_GBK" w:hAnsi="方正楷体_GBK" w:eastAsia="方正楷体_GBK" w:cs="方正楷体_GBK"/>
          <w:color w:val="auto"/>
          <w:sz w:val="32"/>
          <w:szCs w:val="32"/>
          <w:lang w:val="en-US" w:eastAsia="zh-CN"/>
        </w:rPr>
        <w:t>（三）健全医疗保障服务支撑体系</w:t>
      </w:r>
      <w:bookmarkEnd w:id="24"/>
      <w:r>
        <w:rPr>
          <w:rFonts w:hint="eastAsia" w:ascii="方正楷体_GBK" w:hAnsi="方正楷体_GBK" w:eastAsia="方正楷体_GBK" w:cs="方正楷体_GBK"/>
          <w:color w:val="auto"/>
          <w:sz w:val="32"/>
          <w:szCs w:val="32"/>
          <w:lang w:val="en-US" w:eastAsia="zh-CN"/>
        </w:rPr>
        <w:t>。</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优化医保公共服务效能。</w:t>
      </w:r>
      <w:r>
        <w:rPr>
          <w:rFonts w:hint="eastAsia" w:ascii="仿宋" w:hAnsi="仿宋" w:eastAsia="仿宋" w:cs="仿宋"/>
          <w:color w:val="auto"/>
          <w:kern w:val="2"/>
          <w:sz w:val="32"/>
          <w:szCs w:val="32"/>
          <w:lang w:val="en-US" w:eastAsia="zh-CN" w:bidi="ar"/>
        </w:rPr>
        <w:t>健全医保经办管理服务体系，推进医疗保障公共服务标准化、规范化建设。</w:t>
      </w:r>
      <w:r>
        <w:rPr>
          <w:rFonts w:hint="default" w:ascii="仿宋" w:hAnsi="仿宋" w:eastAsia="仿宋" w:cs="仿宋"/>
          <w:color w:val="auto"/>
          <w:kern w:val="2"/>
          <w:sz w:val="32"/>
          <w:szCs w:val="32"/>
          <w:lang w:val="en-US" w:eastAsia="zh-CN" w:bidi="ar"/>
        </w:rPr>
        <w:t>加强信息共享和服务衔接，实现参保群众“一站式服务、一窗口办理、一单制结算”。进一步完善市、县、乡、村四级医保服务网络，组建一支医疗保障为民服务队伍，全面打通医疗保障服务“最后一公里”，打造“暖心医保”服务品牌。</w:t>
      </w:r>
      <w:r>
        <w:rPr>
          <w:rFonts w:hint="eastAsia" w:ascii="仿宋" w:hAnsi="仿宋" w:eastAsia="仿宋" w:cs="仿宋"/>
          <w:color w:val="auto"/>
          <w:kern w:val="2"/>
          <w:sz w:val="32"/>
          <w:szCs w:val="32"/>
          <w:lang w:val="en-US" w:eastAsia="zh-CN" w:bidi="ar"/>
        </w:rPr>
        <w:t>健全行风建设专项评价长效机制，完善“好差评”结果运用。做好各类人群参保和医保关系跨地区转移接续，支持商业保险机构经办（承办）医保业务。完善异地就医基金支付方式和结算管理机制，建立异地就医定点医疗机构考核评价和定期通报制度。扩大异地就医门诊结算试点范围，完善业务协同管理机制，加强异地就医基金监管，推进省内定点药店异地刷卡结算。实施统一的医保政务服务事项和办事指南，大力推行医保服务事项网上办、掌上办、“一网通办”。优化异地就医备案审核管理，推进异地直接结算及经办服务“医保一码通”。</w:t>
      </w:r>
    </w:p>
    <w:tbl>
      <w:tblPr>
        <w:tblStyle w:val="9"/>
        <w:tblW w:w="9307"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
      <w:tblGrid>
        <w:gridCol w:w="9307"/>
      </w:tblGrid>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jc w:val="center"/>
        </w:trPr>
        <w:tc>
          <w:tcPr>
            <w:tcW w:w="9307" w:type="dxa"/>
            <w:tcBorders>
              <w:tl2br w:val="nil"/>
              <w:tr2bl w:val="nil"/>
            </w:tcBorders>
            <w:tcMar>
              <w:top w:w="12" w:type="dxa"/>
              <w:left w:w="12" w:type="dxa"/>
              <w:right w:w="12" w:type="dxa"/>
            </w:tcMar>
            <w:vAlign w:val="center"/>
          </w:tcPr>
          <w:p>
            <w:pPr>
              <w:widowControl/>
              <w:spacing w:line="340" w:lineRule="exact"/>
              <w:jc w:val="center"/>
              <w:textAlignment w:val="center"/>
              <w:rPr>
                <w:rFonts w:hint="default" w:ascii="宋体" w:hAnsi="宋体" w:eastAsia="黑体"/>
                <w:color w:val="auto"/>
                <w:sz w:val="28"/>
              </w:rPr>
            </w:pPr>
            <w:r>
              <w:rPr>
                <w:rFonts w:hint="default" w:ascii="Times New Roman" w:hAnsi="Times New Roman" w:eastAsia="黑体"/>
                <w:bCs/>
                <w:color w:val="auto"/>
                <w:kern w:val="0"/>
                <w:sz w:val="30"/>
                <w:szCs w:val="30"/>
              </w:rPr>
              <w:t>专栏</w:t>
            </w:r>
            <w:r>
              <w:rPr>
                <w:rFonts w:hint="eastAsia" w:ascii="Times New Roman" w:hAnsi="Times New Roman" w:eastAsia="黑体"/>
                <w:bCs/>
                <w:color w:val="auto"/>
                <w:kern w:val="0"/>
                <w:sz w:val="30"/>
                <w:szCs w:val="30"/>
                <w:lang w:val="en-US" w:eastAsia="zh-CN"/>
              </w:rPr>
              <w:t>6</w:t>
            </w:r>
            <w:r>
              <w:rPr>
                <w:rFonts w:hint="default" w:ascii="Times New Roman" w:hAnsi="Times New Roman" w:eastAsia="黑体"/>
                <w:bCs/>
                <w:color w:val="auto"/>
                <w:kern w:val="0"/>
                <w:sz w:val="30"/>
                <w:szCs w:val="30"/>
              </w:rPr>
              <w:t xml:space="preserve">  医疗保障经办服务提升工程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tblLayout w:type="fixed"/>
          <w:tblCellMar>
            <w:top w:w="0" w:type="dxa"/>
            <w:left w:w="0" w:type="dxa"/>
            <w:bottom w:w="0" w:type="dxa"/>
            <w:right w:w="0" w:type="dxa"/>
          </w:tblCellMar>
        </w:tblPrEx>
        <w:trPr>
          <w:trHeight w:val="567" w:hRule="atLeast"/>
          <w:jc w:val="center"/>
        </w:trPr>
        <w:tc>
          <w:tcPr>
            <w:tcW w:w="9307" w:type="dxa"/>
            <w:tcBorders>
              <w:tl2br w:val="nil"/>
              <w:tr2bl w:val="nil"/>
            </w:tcBorders>
            <w:tcMar>
              <w:top w:w="12" w:type="dxa"/>
              <w:left w:w="12" w:type="dxa"/>
              <w:right w:w="12" w:type="dxa"/>
            </w:tcMar>
            <w:vAlign w:val="center"/>
          </w:tcPr>
          <w:p>
            <w:pPr>
              <w:numPr>
                <w:ilvl w:val="0"/>
                <w:numId w:val="4"/>
              </w:num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hint="default" w:asciiTheme="minorEastAsia" w:hAnsiTheme="minorEastAsia" w:eastAsiaTheme="minorEastAsia" w:cstheme="minorEastAsia"/>
                <w:b/>
                <w:bCs/>
                <w:color w:val="auto"/>
                <w:sz w:val="24"/>
                <w:szCs w:val="24"/>
              </w:rPr>
              <w:t>实现县区以上医保经办标准化窗口全覆盖。</w:t>
            </w:r>
            <w:r>
              <w:rPr>
                <w:rFonts w:hint="eastAsia" w:asciiTheme="minorEastAsia" w:hAnsiTheme="minorEastAsia" w:eastAsiaTheme="minorEastAsia" w:cstheme="minorEastAsia"/>
                <w:b/>
                <w:bCs/>
                <w:color w:val="auto"/>
                <w:sz w:val="24"/>
                <w:szCs w:val="24"/>
                <w:lang w:val="en-US" w:eastAsia="zh-CN"/>
              </w:rPr>
              <w:t>按照</w:t>
            </w:r>
            <w:r>
              <w:rPr>
                <w:rFonts w:hint="default" w:asciiTheme="minorEastAsia" w:hAnsiTheme="minorEastAsia" w:eastAsiaTheme="minorEastAsia" w:cstheme="minorEastAsia"/>
                <w:b/>
                <w:bCs/>
                <w:color w:val="auto"/>
                <w:sz w:val="24"/>
                <w:szCs w:val="24"/>
              </w:rPr>
              <w:t>省级医疗保障管理服务窗口标准规范，制定示范窗口评定标准，实现医保经办机构的地标识别功能，规范服务。</w:t>
            </w:r>
          </w:p>
          <w:p>
            <w:pPr>
              <w:numPr>
                <w:ilvl w:val="0"/>
                <w:numId w:val="4"/>
              </w:num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hint="default" w:asciiTheme="minorEastAsia" w:hAnsiTheme="minorEastAsia" w:eastAsiaTheme="minorEastAsia" w:cstheme="minorEastAsia"/>
                <w:b/>
                <w:bCs/>
                <w:color w:val="auto"/>
                <w:sz w:val="24"/>
                <w:szCs w:val="24"/>
              </w:rPr>
              <w:t>建成区县级以上医保经办服务示范窗口；建设医疗保障基层服务示范点；建设医疗保障定点医疗机构示范点；建设智慧医保管理服务示范点。</w:t>
            </w:r>
          </w:p>
          <w:p>
            <w:pPr>
              <w:numPr>
                <w:ilvl w:val="0"/>
                <w:numId w:val="4"/>
              </w:num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hint="default" w:asciiTheme="minorEastAsia" w:hAnsiTheme="minorEastAsia" w:eastAsiaTheme="minorEastAsia" w:cstheme="minorEastAsia"/>
                <w:b/>
                <w:bCs/>
                <w:color w:val="auto"/>
                <w:sz w:val="24"/>
                <w:szCs w:val="24"/>
              </w:rPr>
              <w:t>推广预约服务、延时服务、上门服务、应急服务，畅通优先服务绿色通道。</w:t>
            </w:r>
          </w:p>
          <w:p>
            <w:pPr>
              <w:numPr>
                <w:ilvl w:val="0"/>
                <w:numId w:val="4"/>
              </w:numPr>
              <w:spacing w:line="340" w:lineRule="exact"/>
              <w:ind w:firstLine="482" w:firstLineChars="200"/>
              <w:jc w:val="left"/>
              <w:rPr>
                <w:rFonts w:hint="default" w:asciiTheme="minorEastAsia" w:hAnsiTheme="minorEastAsia" w:eastAsiaTheme="minorEastAsia" w:cstheme="minorEastAsia"/>
                <w:b/>
                <w:bCs/>
                <w:color w:val="auto"/>
                <w:sz w:val="24"/>
                <w:szCs w:val="24"/>
              </w:rPr>
            </w:pPr>
            <w:r>
              <w:rPr>
                <w:rFonts w:hint="default" w:asciiTheme="minorEastAsia" w:hAnsiTheme="minorEastAsia" w:eastAsiaTheme="minorEastAsia" w:cstheme="minorEastAsia"/>
                <w:b/>
                <w:bCs/>
                <w:color w:val="auto"/>
                <w:sz w:val="24"/>
                <w:szCs w:val="24"/>
              </w:rPr>
              <w:t>推进流动就业人员基本医疗保险关系转移接续</w:t>
            </w:r>
            <w:r>
              <w:rPr>
                <w:rFonts w:asciiTheme="minorEastAsia" w:hAnsiTheme="minorEastAsia" w:eastAsiaTheme="minorEastAsia" w:cstheme="minorEastAsia"/>
                <w:b/>
                <w:bCs/>
                <w:color w:val="auto"/>
                <w:sz w:val="24"/>
                <w:szCs w:val="24"/>
              </w:rPr>
              <w:t>跨省通办</w:t>
            </w:r>
            <w:r>
              <w:rPr>
                <w:rFonts w:hint="default" w:asciiTheme="minorEastAsia" w:hAnsiTheme="minorEastAsia" w:eastAsiaTheme="minorEastAsia" w:cstheme="minorEastAsia"/>
                <w:b/>
                <w:bCs/>
                <w:color w:val="auto"/>
                <w:sz w:val="24"/>
                <w:szCs w:val="24"/>
              </w:rPr>
              <w:t>。</w:t>
            </w:r>
          </w:p>
          <w:p>
            <w:pPr>
              <w:numPr>
                <w:ilvl w:val="0"/>
                <w:numId w:val="4"/>
              </w:numPr>
              <w:spacing w:line="340" w:lineRule="exact"/>
              <w:ind w:firstLine="482" w:firstLineChars="200"/>
              <w:jc w:val="left"/>
              <w:rPr>
                <w:rFonts w:hint="default"/>
                <w:color w:val="auto"/>
              </w:rPr>
            </w:pPr>
            <w:r>
              <w:rPr>
                <w:rFonts w:hint="default" w:asciiTheme="minorEastAsia" w:hAnsiTheme="minorEastAsia" w:eastAsiaTheme="minorEastAsia" w:cstheme="minorEastAsia"/>
                <w:b/>
                <w:bCs/>
                <w:color w:val="auto"/>
                <w:sz w:val="24"/>
                <w:szCs w:val="24"/>
              </w:rPr>
              <w:t>加强窗口规范化建设，强化窗口制度建设，推广综合柜员制。</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 w:hAnsi="仿宋" w:eastAsia="仿宋" w:cs="仿宋"/>
          <w:color w:val="auto"/>
          <w:kern w:val="2"/>
          <w:sz w:val="32"/>
          <w:szCs w:val="32"/>
          <w:lang w:val="en-US"/>
        </w:rPr>
      </w:pPr>
      <w:r>
        <w:rPr>
          <w:rFonts w:hint="default" w:ascii="仿宋" w:hAnsi="仿宋" w:eastAsia="仿宋" w:cs="仿宋"/>
          <w:b/>
          <w:bCs/>
          <w:color w:val="auto"/>
          <w:kern w:val="2"/>
          <w:sz w:val="32"/>
          <w:szCs w:val="32"/>
          <w:lang w:val="en-US" w:eastAsia="zh-CN" w:bidi="ar"/>
        </w:rPr>
        <w:t>推动长三角区域医疗保障合作。</w:t>
      </w:r>
      <w:r>
        <w:rPr>
          <w:rFonts w:hint="default" w:ascii="仿宋" w:hAnsi="仿宋" w:eastAsia="仿宋" w:cs="仿宋"/>
          <w:color w:val="auto"/>
          <w:kern w:val="2"/>
          <w:sz w:val="32"/>
          <w:szCs w:val="32"/>
          <w:lang w:val="en-US" w:eastAsia="zh-CN" w:bidi="ar"/>
        </w:rPr>
        <w:t>探索开展长三角地区门诊慢特病跨省异地就医直接结算。加快基本医保一体化发展，探索与长三角地区医疗服务价格水平衔接，有序推进医疗服务价格管理改革和价格优化。</w:t>
      </w:r>
      <w:r>
        <w:rPr>
          <w:rFonts w:hint="eastAsia" w:ascii="仿宋" w:hAnsi="仿宋" w:eastAsia="仿宋" w:cs="仿宋"/>
          <w:color w:val="auto"/>
          <w:kern w:val="2"/>
          <w:sz w:val="32"/>
          <w:szCs w:val="32"/>
          <w:lang w:val="en-US" w:eastAsia="zh-CN" w:bidi="ar"/>
        </w:rPr>
        <w:t>在省局统一部署下，</w:t>
      </w:r>
      <w:r>
        <w:rPr>
          <w:rFonts w:hint="default" w:ascii="仿宋" w:hAnsi="仿宋" w:eastAsia="仿宋" w:cs="仿宋"/>
          <w:color w:val="auto"/>
          <w:kern w:val="2"/>
          <w:sz w:val="32"/>
          <w:szCs w:val="32"/>
          <w:lang w:val="en-US" w:eastAsia="zh-CN" w:bidi="ar"/>
        </w:rPr>
        <w:t>统一药品、医用耗材、医疗服务项目三个目录，提升异地就医便利化水平。推进异地就医结算服务的标准化、规范化，推进异地就医门诊直接结算。基于同一接口规范标准，拓展长三角地区的异地就医门诊直接结算联网工作，实现三省一市之间的双向直接结算，进一步扩大异地门诊直接结算范围和效果。建立信息共享平台，实现医保转续结报。推进流动就业人员基本医疗保障关系转移接续和异地就医结算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default" w:ascii="仿宋" w:hAnsi="仿宋" w:eastAsia="仿宋" w:cs="仿宋"/>
          <w:color w:val="auto"/>
          <w:kern w:val="2"/>
          <w:sz w:val="32"/>
          <w:szCs w:val="32"/>
          <w:highlight w:val="green"/>
          <w:lang w:val="en-US" w:eastAsia="zh-CN" w:bidi="ar"/>
        </w:rPr>
      </w:pPr>
      <w:r>
        <w:rPr>
          <w:rFonts w:hint="eastAsia" w:ascii="仿宋" w:hAnsi="仿宋" w:eastAsia="仿宋" w:cs="仿宋"/>
          <w:b/>
          <w:bCs/>
          <w:color w:val="auto"/>
          <w:kern w:val="2"/>
          <w:sz w:val="32"/>
          <w:szCs w:val="32"/>
          <w:lang w:val="en-US" w:eastAsia="zh-CN" w:bidi="ar"/>
        </w:rPr>
        <w:t>强化法治保障。</w:t>
      </w:r>
      <w:r>
        <w:rPr>
          <w:rFonts w:hint="eastAsia" w:ascii="仿宋" w:hAnsi="仿宋" w:eastAsia="仿宋" w:cs="仿宋"/>
          <w:color w:val="auto"/>
          <w:kern w:val="2"/>
          <w:sz w:val="32"/>
          <w:szCs w:val="32"/>
          <w:lang w:val="en-US" w:eastAsia="zh-CN" w:bidi="ar"/>
        </w:rPr>
        <w:t>坚持以习近平法治思想为指导，深入推进全面依法治国。坚持依法行政，深化医保治理和服务改革。落实公众参与制度，对关系群众利益和社会长远发展的重大事项，严格履行调研起草、征求意见、咨询论证、合法性审查和集体研究决定等必经程序，充分吸纳社会各界的意见建议。加大医保法制审核力度，严格开展规范性文件法制审核工作。推进行政执法“三项制度”建设，落实医保统一行政执法指引和文书，加强执法证件管理，促进医保系统行政执法公示制度、执法全过程记录制度和重大执法决定法制审核制度有效落实，规范行政执法自由裁量权，促进行政权力规范运行。扎实做好行政复议应诉工作。继续强化医保法治培训宣传工作，打造一支懂法、用法、守法的专业化队伍。加强医保基金监管法制体系建设，到2025年，基本建成医保基金监管制度体系和执法体系，形成以法治为保障，信用管理为基础，多形式检查、大数据监管为依托，党委领导、政府监管、社会监督、行业自律、个人守信相结合的全方位监管格局，实现医保基金监管法治化、专业化、规范化、常态化。</w:t>
      </w:r>
    </w:p>
    <w:tbl>
      <w:tblPr>
        <w:tblStyle w:val="9"/>
        <w:tblpPr w:leftFromText="180" w:rightFromText="180" w:vertAnchor="text" w:horzAnchor="page" w:tblpX="1086" w:tblpY="543"/>
        <w:tblOverlap w:val="never"/>
        <w:tblW w:w="9340" w:type="dxa"/>
        <w:jc w:val="center"/>
        <w:tblInd w:w="0" w:type="dxa"/>
        <w:tblLayout w:type="fixed"/>
        <w:tblCellMar>
          <w:top w:w="0" w:type="dxa"/>
          <w:left w:w="0" w:type="dxa"/>
          <w:bottom w:w="0" w:type="dxa"/>
          <w:right w:w="0" w:type="dxa"/>
        </w:tblCellMar>
      </w:tblPr>
      <w:tblGrid>
        <w:gridCol w:w="9340"/>
      </w:tblGrid>
      <w:tr>
        <w:tblPrEx>
          <w:tblLayout w:type="fixed"/>
          <w:tblCellMar>
            <w:top w:w="0" w:type="dxa"/>
            <w:left w:w="0" w:type="dxa"/>
            <w:bottom w:w="0" w:type="dxa"/>
            <w:right w:w="0" w:type="dxa"/>
          </w:tblCellMar>
        </w:tblPrEx>
        <w:trPr>
          <w:trHeight w:val="550" w:hRule="atLeast"/>
          <w:jc w:val="center"/>
        </w:trPr>
        <w:tc>
          <w:tcPr>
            <w:tcW w:w="93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auto"/>
                <w:sz w:val="32"/>
                <w:szCs w:val="32"/>
                <w:lang w:val="en-US" w:eastAsia="zh-CN"/>
              </w:rPr>
            </w:pPr>
            <w:r>
              <w:rPr>
                <w:rFonts w:hint="eastAsia" w:ascii="Times New Roman" w:hAnsi="Times New Roman" w:eastAsia="黑体" w:cs="Times New Roman"/>
                <w:bCs/>
                <w:color w:val="auto"/>
                <w:kern w:val="0"/>
                <w:sz w:val="30"/>
                <w:szCs w:val="30"/>
                <w:lang w:val="en-US" w:eastAsia="zh-CN"/>
              </w:rPr>
              <w:t>专栏7 强化法治保障重点工程</w:t>
            </w:r>
          </w:p>
        </w:tc>
      </w:tr>
      <w:tr>
        <w:tblPrEx>
          <w:tblLayout w:type="fixed"/>
          <w:tblCellMar>
            <w:top w:w="0" w:type="dxa"/>
            <w:left w:w="0" w:type="dxa"/>
            <w:bottom w:w="0" w:type="dxa"/>
            <w:right w:w="0" w:type="dxa"/>
          </w:tblCellMar>
        </w:tblPrEx>
        <w:trPr>
          <w:trHeight w:val="312" w:hRule="atLeast"/>
          <w:jc w:val="center"/>
        </w:trPr>
        <w:tc>
          <w:tcPr>
            <w:tcW w:w="934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5"/>
              <w:numPr>
                <w:ilvl w:val="0"/>
                <w:numId w:val="0"/>
              </w:numPr>
              <w:spacing w:line="240" w:lineRule="auto"/>
              <w:ind w:firstLine="482" w:firstLineChars="200"/>
              <w:rPr>
                <w:rFonts w:hint="default"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w:t>
            </w:r>
            <w:r>
              <w:rPr>
                <w:rFonts w:hint="default" w:asciiTheme="minorEastAsia" w:hAnsiTheme="minorEastAsia" w:eastAsiaTheme="minorEastAsia" w:cstheme="minorEastAsia"/>
                <w:b/>
                <w:bCs/>
                <w:color w:val="auto"/>
                <w:kern w:val="2"/>
                <w:sz w:val="24"/>
                <w:szCs w:val="24"/>
                <w:lang w:val="en-US" w:eastAsia="zh-CN" w:bidi="ar-SA"/>
              </w:rPr>
              <w:t>深入开展岗位学法活动，积极组织全体干部参加各类法治学习和专题竞赛，努力提高工作人员法治素质。</w:t>
            </w:r>
          </w:p>
          <w:p>
            <w:pPr>
              <w:pStyle w:val="15"/>
              <w:numPr>
                <w:ilvl w:val="0"/>
                <w:numId w:val="0"/>
              </w:numPr>
              <w:spacing w:line="240" w:lineRule="auto"/>
              <w:ind w:leftChars="0" w:firstLine="482" w:firstLineChars="200"/>
              <w:rPr>
                <w:rFonts w:hint="default"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w:t>
            </w:r>
            <w:r>
              <w:rPr>
                <w:rFonts w:hint="default" w:asciiTheme="minorEastAsia" w:hAnsiTheme="minorEastAsia" w:eastAsiaTheme="minorEastAsia" w:cstheme="minorEastAsia"/>
                <w:b/>
                <w:bCs/>
                <w:color w:val="auto"/>
                <w:kern w:val="2"/>
                <w:sz w:val="24"/>
                <w:szCs w:val="24"/>
                <w:lang w:val="en-US" w:eastAsia="zh-CN" w:bidi="ar-SA"/>
              </w:rPr>
              <w:t>严格落实各项规定，进一步加强规范使用和填写行政执法文书管理，规范档案管理，杜绝不作为、乱作为的现象发生，不断完善创新监管模式，提高整体工作水平。</w:t>
            </w:r>
          </w:p>
          <w:p>
            <w:pPr>
              <w:pStyle w:val="15"/>
              <w:numPr>
                <w:ilvl w:val="0"/>
                <w:numId w:val="0"/>
              </w:numPr>
              <w:spacing w:line="240" w:lineRule="auto"/>
              <w:ind w:leftChars="0" w:firstLine="482" w:firstLineChars="200"/>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3.</w:t>
            </w:r>
            <w:r>
              <w:rPr>
                <w:rFonts w:hint="default" w:asciiTheme="minorEastAsia" w:hAnsiTheme="minorEastAsia" w:eastAsiaTheme="minorEastAsia" w:cstheme="minorEastAsia"/>
                <w:b/>
                <w:bCs/>
                <w:color w:val="auto"/>
                <w:kern w:val="2"/>
                <w:sz w:val="24"/>
                <w:szCs w:val="24"/>
                <w:lang w:val="en-US" w:eastAsia="zh-CN" w:bidi="ar-SA"/>
              </w:rPr>
              <w:t>对违法、违规案件要坚决予以纠正，建立健全案件登记和责任追究制度；对需要公示的违法信息，加强监督审查，确保合法、合规。</w:t>
            </w:r>
          </w:p>
          <w:p>
            <w:pPr>
              <w:pStyle w:val="15"/>
              <w:numPr>
                <w:ilvl w:val="0"/>
                <w:numId w:val="0"/>
              </w:numPr>
              <w:spacing w:line="240" w:lineRule="auto"/>
              <w:ind w:leftChars="0" w:firstLine="482" w:firstLineChars="200"/>
              <w:rPr>
                <w:rFonts w:hint="default"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4.</w:t>
            </w:r>
            <w:r>
              <w:rPr>
                <w:rFonts w:hint="default" w:asciiTheme="minorEastAsia" w:hAnsiTheme="minorEastAsia" w:eastAsiaTheme="minorEastAsia" w:cstheme="minorEastAsia"/>
                <w:b/>
                <w:bCs/>
                <w:color w:val="auto"/>
                <w:kern w:val="2"/>
                <w:sz w:val="24"/>
                <w:szCs w:val="24"/>
                <w:lang w:val="en-US" w:eastAsia="zh-CN" w:bidi="ar-SA"/>
              </w:rPr>
              <w:t>建立完善监督制约和责任追究机制，做到有权必有责、用权受监督、违法受追究。</w:t>
            </w:r>
          </w:p>
          <w:p>
            <w:pPr>
              <w:pStyle w:val="15"/>
              <w:numPr>
                <w:ilvl w:val="0"/>
                <w:numId w:val="0"/>
              </w:numPr>
              <w:spacing w:line="240" w:lineRule="auto"/>
              <w:ind w:leftChars="0" w:firstLine="482" w:firstLineChars="200"/>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5、落实行政执法公示制度、执法全过程记录制度和重大执法决定法制审核制度。</w:t>
            </w:r>
          </w:p>
          <w:p>
            <w:pPr>
              <w:pStyle w:val="15"/>
              <w:numPr>
                <w:ilvl w:val="0"/>
                <w:numId w:val="0"/>
              </w:numPr>
              <w:spacing w:line="240" w:lineRule="auto"/>
              <w:ind w:leftChars="0" w:firstLine="482" w:firstLineChars="200"/>
              <w:rPr>
                <w:rFonts w:hint="default"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6、严格开展规范性文件法制审核工作，确保严格落实深化改革任务，增强各政策文件的衔接性和连贯性，切实提高规范性文件质量。</w:t>
            </w:r>
          </w:p>
        </w:tc>
      </w:tr>
      <w:tr>
        <w:tblPrEx>
          <w:tblLayout w:type="fixed"/>
          <w:tblCellMar>
            <w:top w:w="0" w:type="dxa"/>
            <w:left w:w="0" w:type="dxa"/>
            <w:bottom w:w="0" w:type="dxa"/>
            <w:right w:w="0" w:type="dxa"/>
          </w:tblCellMar>
        </w:tblPrEx>
        <w:trPr>
          <w:trHeight w:val="312" w:hRule="atLeast"/>
          <w:jc w:val="center"/>
        </w:trPr>
        <w:tc>
          <w:tcPr>
            <w:tcW w:w="934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34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34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34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34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34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34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34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34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楷体" w:hAnsi="楷体" w:eastAsia="楷体" w:cs="楷体"/>
          <w:b/>
          <w:bCs/>
          <w:color w:val="auto"/>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default" w:ascii="仿宋" w:hAnsi="仿宋" w:eastAsia="仿宋" w:cs="仿宋"/>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推进医保信息化建设和智慧医保发展。</w:t>
      </w:r>
      <w:r>
        <w:rPr>
          <w:rFonts w:hint="default" w:ascii="Times New Roman" w:hAnsi="Times New Roman" w:eastAsia="方正仿宋_GBK" w:cs="Times New Roman"/>
          <w:b w:val="0"/>
          <w:bCs w:val="0"/>
          <w:sz w:val="32"/>
          <w:szCs w:val="32"/>
        </w:rPr>
        <w:t>以全国统一的信息平台在宿州上线为基础，继续强化智慧医保的基础设施建设，为全市医保业务经办标准化、监督管理智能化、公共服务便捷化、决策分析精准化打下坚实的基础，实现</w:t>
      </w:r>
      <w:r>
        <w:rPr>
          <w:rFonts w:hint="default" w:ascii="Times New Roman" w:hAnsi="Times New Roman" w:eastAsia="方正仿宋_GBK" w:cs="Times New Roman"/>
          <w:b w:val="0"/>
          <w:bCs w:val="0"/>
          <w:color w:val="000000"/>
          <w:sz w:val="32"/>
          <w:szCs w:val="32"/>
        </w:rPr>
        <w:t>“规范高效‘大经办’、便捷可及‘大服务’、智能精准‘大治理’、融合共享‘大协作’、在线可用‘大数据’、安全可靠‘大支撑’”六大目标</w:t>
      </w:r>
      <w:r>
        <w:rPr>
          <w:rFonts w:hint="eastAsia" w:ascii="Times New Roman" w:hAnsi="Times New Roman" w:eastAsia="方正仿宋_GBK" w:cs="Times New Roman"/>
          <w:b w:val="0"/>
          <w:bCs w:val="0"/>
          <w:color w:val="000000"/>
          <w:sz w:val="32"/>
          <w:szCs w:val="32"/>
          <w:lang w:eastAsia="zh-CN"/>
        </w:rPr>
        <w:t>。</w:t>
      </w:r>
      <w:r>
        <w:rPr>
          <w:rFonts w:hint="eastAsia" w:ascii="仿宋" w:hAnsi="仿宋" w:eastAsia="仿宋" w:cs="仿宋"/>
          <w:color w:val="auto"/>
          <w:kern w:val="2"/>
          <w:sz w:val="32"/>
          <w:szCs w:val="32"/>
          <w:lang w:val="en-US" w:eastAsia="zh-CN" w:bidi="ar"/>
        </w:rPr>
        <w:t>完善覆盖全民的参保数据库，实现参保信息实时动态查询；持续推进医保电子凭证应用，优化应用功能、拓展业务场景、提升应用体验，实现在挂号就诊、检查检验、取药支付、信息查询、医保结算等医疗保障服务全流程应用，实现医保服务“一码通办”，支持“跨省通办”政务服务范围的扩展。贯彻执行医保信息业务编码标准，推进医保疾病诊断和手术操作、医疗服务项目、药品和医用耗材等15项医保信息业务编码的贯彻应用。</w:t>
      </w:r>
      <w:r>
        <w:rPr>
          <w:rFonts w:hint="default" w:ascii="Times New Roman" w:hAnsi="Times New Roman" w:eastAsia="方正仿宋_GBK" w:cs="Times New Roman"/>
          <w:b w:val="0"/>
          <w:bCs w:val="0"/>
          <w:sz w:val="32"/>
          <w:szCs w:val="32"/>
        </w:rPr>
        <w:t>加强智慧医保在医保管理监督中的运用，充分利用信息技术、大数据、智能手段，助力支付方式改革、开展智能监控等，使得医保管理监督更智能、更“智慧”，不断提升基金使用效率；利用智慧医保提升公共服务水平和质量，为参保群众和定点医药机构提供更加</w:t>
      </w:r>
      <w:r>
        <w:rPr>
          <w:rFonts w:hint="eastAsia" w:ascii="Times New Roman" w:hAnsi="Times New Roman" w:eastAsia="方正仿宋_GBK" w:cs="Times New Roman"/>
          <w:b w:val="0"/>
          <w:bCs w:val="0"/>
          <w:sz w:val="32"/>
          <w:szCs w:val="32"/>
          <w:lang w:eastAsia="zh-CN"/>
        </w:rPr>
        <w:t>优质、</w:t>
      </w:r>
      <w:r>
        <w:rPr>
          <w:rFonts w:hint="default" w:ascii="Times New Roman" w:hAnsi="Times New Roman" w:eastAsia="方正仿宋_GBK" w:cs="Times New Roman"/>
          <w:b w:val="0"/>
          <w:bCs w:val="0"/>
          <w:sz w:val="32"/>
          <w:szCs w:val="32"/>
        </w:rPr>
        <w:t>便捷、高效的医保服务。</w:t>
      </w:r>
      <w:r>
        <w:rPr>
          <w:rFonts w:hint="eastAsia" w:ascii="仿宋" w:hAnsi="仿宋" w:eastAsia="仿宋" w:cs="仿宋"/>
          <w:color w:val="auto"/>
          <w:kern w:val="2"/>
          <w:sz w:val="32"/>
          <w:szCs w:val="32"/>
          <w:lang w:val="en-US" w:eastAsia="zh-CN" w:bidi="ar"/>
        </w:rPr>
        <w:t>加强网络和信息系统安全防护，完善网络安全事件应急处置机制，预防和减少网络安全事件造成的损失和危害。</w:t>
      </w:r>
    </w:p>
    <w:tbl>
      <w:tblPr>
        <w:tblStyle w:val="9"/>
        <w:tblpPr w:leftFromText="180" w:rightFromText="180" w:vertAnchor="text" w:horzAnchor="page" w:tblpX="1269" w:tblpY="575"/>
        <w:tblOverlap w:val="never"/>
        <w:tblW w:w="9760" w:type="dxa"/>
        <w:jc w:val="center"/>
        <w:tblInd w:w="0" w:type="dxa"/>
        <w:tblLayout w:type="fixed"/>
        <w:tblCellMar>
          <w:top w:w="0" w:type="dxa"/>
          <w:left w:w="0" w:type="dxa"/>
          <w:bottom w:w="0" w:type="dxa"/>
          <w:right w:w="0" w:type="dxa"/>
        </w:tblCellMar>
      </w:tblPr>
      <w:tblGrid>
        <w:gridCol w:w="9760"/>
      </w:tblGrid>
      <w:tr>
        <w:tblPrEx>
          <w:tblLayout w:type="fixed"/>
          <w:tblCellMar>
            <w:top w:w="0" w:type="dxa"/>
            <w:left w:w="0" w:type="dxa"/>
            <w:bottom w:w="0" w:type="dxa"/>
            <w:right w:w="0" w:type="dxa"/>
          </w:tblCellMar>
        </w:tblPrEx>
        <w:trPr>
          <w:trHeight w:val="521" w:hRule="atLeast"/>
          <w:jc w:val="center"/>
        </w:trPr>
        <w:tc>
          <w:tcPr>
            <w:tcW w:w="97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仿宋" w:cs="宋体"/>
                <w:color w:val="auto"/>
                <w:sz w:val="32"/>
                <w:szCs w:val="32"/>
                <w:lang w:val="en-US" w:eastAsia="zh-CN"/>
              </w:rPr>
            </w:pPr>
            <w:r>
              <w:rPr>
                <w:rFonts w:hint="eastAsia" w:ascii="Times New Roman" w:hAnsi="Times New Roman" w:eastAsia="黑体" w:cs="Times New Roman"/>
                <w:bCs/>
                <w:color w:val="auto"/>
                <w:kern w:val="0"/>
                <w:sz w:val="30"/>
                <w:szCs w:val="30"/>
              </w:rPr>
              <w:t>专栏</w:t>
            </w:r>
            <w:r>
              <w:rPr>
                <w:rFonts w:hint="eastAsia" w:ascii="Times New Roman" w:hAnsi="Times New Roman" w:eastAsia="黑体" w:cs="Times New Roman"/>
                <w:bCs/>
                <w:color w:val="auto"/>
                <w:kern w:val="0"/>
                <w:sz w:val="30"/>
                <w:szCs w:val="30"/>
                <w:lang w:val="en-US" w:eastAsia="zh-CN"/>
              </w:rPr>
              <w:t>8 信息化建设工程</w:t>
            </w:r>
          </w:p>
        </w:tc>
      </w:tr>
      <w:tr>
        <w:tblPrEx>
          <w:tblLayout w:type="fixed"/>
          <w:tblCellMar>
            <w:top w:w="0" w:type="dxa"/>
            <w:left w:w="0" w:type="dxa"/>
            <w:bottom w:w="0" w:type="dxa"/>
            <w:right w:w="0" w:type="dxa"/>
          </w:tblCellMar>
        </w:tblPrEx>
        <w:trPr>
          <w:trHeight w:val="312" w:hRule="atLeast"/>
          <w:jc w:val="center"/>
        </w:trPr>
        <w:tc>
          <w:tcPr>
            <w:tcW w:w="976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numPr>
                <w:ilvl w:val="0"/>
                <w:numId w:val="5"/>
              </w:numPr>
              <w:spacing w:line="340" w:lineRule="exact"/>
              <w:ind w:left="0" w:leftChars="0"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完成省定的市级医保信息平台建设任务。按既定计划推进医保信息化重点项目建设，力争早启动、早部署、早使用；</w:t>
            </w:r>
          </w:p>
          <w:p>
            <w:pPr>
              <w:numPr>
                <w:ilvl w:val="0"/>
                <w:numId w:val="5"/>
              </w:numPr>
              <w:spacing w:line="340" w:lineRule="exact"/>
              <w:ind w:left="0" w:leftChars="0"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持续推进医保电子凭证应用工作。提升医保电子凭证激活率和使用率，不断拓展医保线上服务业务；</w:t>
            </w:r>
          </w:p>
          <w:p>
            <w:pPr>
              <w:numPr>
                <w:ilvl w:val="0"/>
                <w:numId w:val="5"/>
              </w:numPr>
              <w:spacing w:line="340" w:lineRule="exact"/>
              <w:ind w:left="0" w:leftChars="0"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继续加强基础网络系统建设，实施市县联网建设，建成数据共享、交互协同的全市一体化医疗保障网络体系；</w:t>
            </w:r>
          </w:p>
          <w:p>
            <w:pPr>
              <w:numPr>
                <w:ilvl w:val="0"/>
                <w:numId w:val="5"/>
              </w:numPr>
              <w:spacing w:line="340" w:lineRule="exact"/>
              <w:ind w:left="0" w:leftChars="0" w:firstLine="482" w:firstLineChars="200"/>
              <w:jc w:val="left"/>
              <w:rPr>
                <w:color w:val="auto"/>
              </w:rPr>
            </w:pPr>
            <w:r>
              <w:rPr>
                <w:rFonts w:hint="eastAsia" w:asciiTheme="minorEastAsia" w:hAnsiTheme="minorEastAsia" w:eastAsiaTheme="minorEastAsia" w:cstheme="minorEastAsia"/>
                <w:b/>
                <w:bCs/>
                <w:color w:val="auto"/>
                <w:sz w:val="24"/>
                <w:szCs w:val="24"/>
                <w:lang w:val="en-US" w:eastAsia="zh-CN"/>
              </w:rPr>
              <w:t>开展安全体系平台建设工作。规划设计全市医保网络安全系统整体架构，完成信息安全系统等级保护三级备案测评和建设工作，提高网络、安全性和稳定性。</w:t>
            </w:r>
          </w:p>
        </w:tc>
      </w:tr>
      <w:tr>
        <w:tblPrEx>
          <w:tblLayout w:type="fixed"/>
          <w:tblCellMar>
            <w:top w:w="0" w:type="dxa"/>
            <w:left w:w="0" w:type="dxa"/>
            <w:bottom w:w="0" w:type="dxa"/>
            <w:right w:w="0" w:type="dxa"/>
          </w:tblCellMar>
        </w:tblPrEx>
        <w:trPr>
          <w:trHeight w:val="312" w:hRule="atLeast"/>
          <w:jc w:val="center"/>
        </w:trPr>
        <w:tc>
          <w:tcPr>
            <w:tcW w:w="97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7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7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7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7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7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7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7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r>
        <w:tblPrEx>
          <w:tblLayout w:type="fixed"/>
          <w:tblCellMar>
            <w:top w:w="0" w:type="dxa"/>
            <w:left w:w="0" w:type="dxa"/>
            <w:bottom w:w="0" w:type="dxa"/>
            <w:right w:w="0" w:type="dxa"/>
          </w:tblCellMar>
        </w:tblPrEx>
        <w:trPr>
          <w:trHeight w:val="312" w:hRule="atLeast"/>
          <w:jc w:val="center"/>
        </w:trPr>
        <w:tc>
          <w:tcPr>
            <w:tcW w:w="97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eastAsia="宋体" w:cs="宋体"/>
                <w:color w:val="auto"/>
                <w:sz w:val="32"/>
                <w:szCs w:val="32"/>
              </w:rPr>
            </w:pPr>
          </w:p>
        </w:tc>
      </w:tr>
    </w:tbl>
    <w:p>
      <w:pPr>
        <w:pStyle w:val="8"/>
        <w:widowControl/>
        <w:numPr>
          <w:ilvl w:val="0"/>
          <w:numId w:val="0"/>
        </w:numPr>
        <w:spacing w:beforeAutospacing="0" w:afterAutospacing="0" w:line="592" w:lineRule="atLeast"/>
        <w:ind w:right="0" w:rightChars="0" w:firstLine="643" w:firstLineChars="200"/>
        <w:jc w:val="left"/>
        <w:rPr>
          <w:rFonts w:hint="default" w:ascii="仿宋" w:hAnsi="仿宋" w:eastAsia="仿宋" w:cs="仿宋"/>
          <w:color w:val="auto"/>
          <w:kern w:val="2"/>
          <w:sz w:val="32"/>
          <w:szCs w:val="32"/>
          <w:highlight w:val="green"/>
          <w:lang w:val="en-US" w:eastAsia="zh-CN"/>
        </w:rPr>
      </w:pPr>
      <w:r>
        <w:rPr>
          <w:rFonts w:hint="eastAsia" w:ascii="仿宋" w:hAnsi="仿宋" w:eastAsia="仿宋" w:cs="仿宋"/>
          <w:b/>
          <w:bCs/>
          <w:color w:val="auto"/>
          <w:kern w:val="2"/>
          <w:sz w:val="32"/>
          <w:szCs w:val="32"/>
          <w:lang w:eastAsia="zh-CN"/>
        </w:rPr>
        <w:t>加强医疗保障队伍及能力建设。</w:t>
      </w:r>
      <w:r>
        <w:rPr>
          <w:rFonts w:hint="eastAsia" w:ascii="仿宋" w:hAnsi="仿宋" w:eastAsia="仿宋" w:cs="仿宋"/>
          <w:color w:val="auto"/>
          <w:kern w:val="2"/>
          <w:sz w:val="32"/>
          <w:szCs w:val="32"/>
          <w:lang w:eastAsia="zh-CN"/>
        </w:rPr>
        <w:t>优化提升干部队伍的能力素质，进一步研究制定干部教育培训中长期规划，以提升政治能力为核心，聚焦医疗保障中心工作，分层次分专业开展医疗保障系统干部培训，努力造就一支心中有理想、肩上有担当、身上有本领、脚下有定力的医疗保障干部队伍。</w:t>
      </w:r>
      <w:r>
        <w:rPr>
          <w:rFonts w:hint="eastAsia" w:ascii="仿宋" w:hAnsi="仿宋" w:eastAsia="仿宋" w:cs="仿宋"/>
          <w:color w:val="auto"/>
          <w:kern w:val="2"/>
          <w:sz w:val="32"/>
          <w:szCs w:val="32"/>
          <w:highlight w:val="none"/>
          <w:lang w:eastAsia="zh-CN"/>
        </w:rPr>
        <w:t>适应医保基金常态化、精准化监管改革需求，成立医保基金安全监管中心，加强医保基金监管队伍建设，选优配强医保基金监管专业型人才，落实行政执法人员资格准入制度，推进严格规范公正文明执法。</w:t>
      </w:r>
      <w:r>
        <w:rPr>
          <w:rFonts w:hint="eastAsia" w:ascii="仿宋" w:hAnsi="仿宋" w:eastAsia="仿宋" w:cs="仿宋"/>
          <w:color w:val="auto"/>
          <w:kern w:val="2"/>
          <w:sz w:val="32"/>
          <w:szCs w:val="32"/>
          <w:lang w:val="en-US" w:eastAsia="zh-CN"/>
        </w:rPr>
        <w:t>强医疗保障政策研究，</w:t>
      </w:r>
      <w:r>
        <w:rPr>
          <w:rFonts w:hint="eastAsia" w:ascii="仿宋" w:hAnsi="仿宋" w:eastAsia="仿宋" w:cs="仿宋"/>
          <w:color w:val="auto"/>
          <w:kern w:val="2"/>
          <w:sz w:val="32"/>
          <w:szCs w:val="32"/>
          <w:lang w:eastAsia="zh-CN"/>
        </w:rPr>
        <w:t>建立医保政策评估机制。做好医保人才队伍建设计划，选优配强医保力量，主动加强与市编委办、市委组织部等部门的沟通，加强医保部门工作力量；</w:t>
      </w:r>
      <w:r>
        <w:rPr>
          <w:rFonts w:hint="eastAsia" w:ascii="仿宋" w:hAnsi="仿宋" w:eastAsia="仿宋" w:cs="仿宋"/>
          <w:color w:val="auto"/>
          <w:kern w:val="2"/>
          <w:sz w:val="32"/>
          <w:szCs w:val="32"/>
          <w:highlight w:val="none"/>
          <w:lang w:eastAsia="zh-CN"/>
        </w:rPr>
        <w:t>根据《医疗机构医疗保障定点管理暂行办法》规定，配齐医疗机构和零售药店的医保管理人员。</w:t>
      </w:r>
      <w:r>
        <w:rPr>
          <w:rFonts w:hint="eastAsia" w:ascii="仿宋" w:hAnsi="仿宋" w:eastAsia="仿宋" w:cs="仿宋"/>
          <w:color w:val="auto"/>
          <w:kern w:val="2"/>
          <w:sz w:val="32"/>
          <w:szCs w:val="32"/>
          <w:lang w:eastAsia="zh-CN"/>
        </w:rPr>
        <w:t>强化业务培训，提高医疗保障业务人员工作能力和管理水平。加强医保部门之间沟通交流、信息互通，提高办事效率。强化基层经办机构能力建设，确保医疗保障各项工作落到实处。</w:t>
      </w:r>
    </w:p>
    <w:tbl>
      <w:tblPr>
        <w:tblStyle w:val="9"/>
        <w:tblW w:w="9540" w:type="dxa"/>
        <w:jc w:val="center"/>
        <w:tblInd w:w="0" w:type="dxa"/>
        <w:tblLayout w:type="fixed"/>
        <w:tblCellMar>
          <w:top w:w="0" w:type="dxa"/>
          <w:left w:w="0" w:type="dxa"/>
          <w:bottom w:w="0" w:type="dxa"/>
          <w:right w:w="0" w:type="dxa"/>
        </w:tblCellMar>
      </w:tblPr>
      <w:tblGrid>
        <w:gridCol w:w="9540"/>
      </w:tblGrid>
      <w:tr>
        <w:tblPrEx>
          <w:tblLayout w:type="fixed"/>
          <w:tblCellMar>
            <w:top w:w="0" w:type="dxa"/>
            <w:left w:w="0" w:type="dxa"/>
            <w:bottom w:w="0" w:type="dxa"/>
            <w:right w:w="0" w:type="dxa"/>
          </w:tblCellMar>
        </w:tblPrEx>
        <w:trPr>
          <w:trHeight w:val="532" w:hRule="atLeast"/>
          <w:jc w:val="center"/>
        </w:trPr>
        <w:tc>
          <w:tcPr>
            <w:tcW w:w="9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jc w:val="center"/>
              <w:textAlignment w:val="center"/>
              <w:rPr>
                <w:rFonts w:hint="default" w:ascii="宋体" w:hAnsi="宋体" w:eastAsia="仿宋" w:cs="宋体"/>
                <w:color w:val="auto"/>
                <w:sz w:val="32"/>
                <w:szCs w:val="32"/>
                <w:lang w:val="en-US" w:eastAsia="zh-CN"/>
              </w:rPr>
            </w:pPr>
            <w:r>
              <w:rPr>
                <w:rFonts w:hint="eastAsia" w:ascii="Times New Roman" w:hAnsi="Times New Roman" w:eastAsia="黑体" w:cs="Times New Roman"/>
                <w:bCs/>
                <w:color w:val="auto"/>
                <w:kern w:val="0"/>
                <w:sz w:val="30"/>
                <w:szCs w:val="30"/>
              </w:rPr>
              <w:t>专栏</w:t>
            </w:r>
            <w:r>
              <w:rPr>
                <w:rFonts w:hint="eastAsia" w:ascii="Times New Roman" w:hAnsi="Times New Roman" w:eastAsia="黑体" w:cs="Times New Roman"/>
                <w:bCs/>
                <w:color w:val="auto"/>
                <w:kern w:val="0"/>
                <w:sz w:val="30"/>
                <w:szCs w:val="30"/>
                <w:lang w:val="en-US" w:eastAsia="zh-CN"/>
              </w:rPr>
              <w:t>9 加强医保队伍能力建设</w:t>
            </w:r>
          </w:p>
        </w:tc>
      </w:tr>
      <w:tr>
        <w:tblPrEx>
          <w:tblLayout w:type="fixed"/>
          <w:tblCellMar>
            <w:top w:w="0" w:type="dxa"/>
            <w:left w:w="0" w:type="dxa"/>
            <w:bottom w:w="0" w:type="dxa"/>
            <w:right w:w="0" w:type="dxa"/>
          </w:tblCellMar>
        </w:tblPrEx>
        <w:trPr>
          <w:trHeight w:val="1640" w:hRule="atLeast"/>
          <w:jc w:val="center"/>
        </w:trPr>
        <w:tc>
          <w:tcPr>
            <w:tcW w:w="9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numPr>
                <w:ilvl w:val="255"/>
                <w:numId w:val="0"/>
              </w:numPr>
              <w:spacing w:line="340" w:lineRule="exact"/>
              <w:ind w:firstLine="482" w:firstLineChars="20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1.组建医保政策宣讲团，常态化、多渠道开展医保政策宣讲工作。</w:t>
            </w:r>
            <w:r>
              <w:rPr>
                <w:rFonts w:hint="eastAsia" w:asciiTheme="minorEastAsia" w:hAnsiTheme="minorEastAsia" w:eastAsiaTheme="minorEastAsia" w:cstheme="minorEastAsia"/>
                <w:b/>
                <w:bCs/>
                <w:color w:val="auto"/>
                <w:sz w:val="24"/>
                <w:szCs w:val="24"/>
                <w:lang w:eastAsia="zh-CN"/>
              </w:rPr>
              <w:t>研究制定干部教育培训中长期规划。</w:t>
            </w:r>
          </w:p>
          <w:p>
            <w:pPr>
              <w:numPr>
                <w:ilvl w:val="255"/>
                <w:numId w:val="0"/>
              </w:numPr>
              <w:spacing w:line="340" w:lineRule="exact"/>
              <w:ind w:firstLine="482" w:firstLineChars="200"/>
              <w:jc w:val="left"/>
              <w:rPr>
                <w:rFonts w:hint="default"/>
                <w:color w:val="auto"/>
                <w:lang w:val="en-US"/>
              </w:rPr>
            </w:pP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lang w:eastAsia="zh-CN"/>
              </w:rPr>
              <w:t>探索通过购买服务方式，规范和加强与科研机构、医保协会（研究会）等社会组织</w:t>
            </w:r>
            <w:r>
              <w:rPr>
                <w:rFonts w:hint="eastAsia" w:asciiTheme="minorEastAsia" w:hAnsiTheme="minorEastAsia" w:eastAsiaTheme="minorEastAsia" w:cstheme="minorEastAsia"/>
                <w:b/>
                <w:bCs/>
                <w:color w:val="auto"/>
                <w:sz w:val="24"/>
                <w:szCs w:val="24"/>
                <w:lang w:val="en-US" w:eastAsia="zh-CN"/>
              </w:rPr>
              <w:t>的</w:t>
            </w:r>
            <w:r>
              <w:rPr>
                <w:rFonts w:hint="eastAsia" w:asciiTheme="minorEastAsia" w:hAnsiTheme="minorEastAsia" w:eastAsiaTheme="minorEastAsia" w:cstheme="minorEastAsia"/>
                <w:b/>
                <w:bCs/>
                <w:color w:val="auto"/>
                <w:sz w:val="24"/>
                <w:szCs w:val="24"/>
                <w:lang w:eastAsia="zh-CN"/>
              </w:rPr>
              <w:t>合作，更好发挥高端智库和专业机构的决策支持作用。</w:t>
            </w:r>
            <w:r>
              <w:rPr>
                <w:rFonts w:hint="eastAsia" w:asciiTheme="minorEastAsia" w:hAnsiTheme="minorEastAsia" w:eastAsiaTheme="minorEastAsia" w:cstheme="minorEastAsia"/>
                <w:b/>
                <w:bCs/>
                <w:color w:val="auto"/>
                <w:sz w:val="24"/>
                <w:szCs w:val="24"/>
                <w:lang w:val="en-US" w:eastAsia="zh-CN"/>
              </w:rPr>
              <w:t xml:space="preserve">       </w:t>
            </w:r>
          </w:p>
        </w:tc>
      </w:tr>
    </w:tbl>
    <w:p>
      <w:pPr>
        <w:pStyle w:val="8"/>
        <w:widowControl/>
        <w:numPr>
          <w:ilvl w:val="0"/>
          <w:numId w:val="0"/>
        </w:numPr>
        <w:spacing w:beforeAutospacing="0" w:afterAutospacing="0" w:line="592" w:lineRule="atLeast"/>
        <w:ind w:right="0" w:rightChars="0"/>
        <w:jc w:val="left"/>
        <w:rPr>
          <w:rFonts w:hint="eastAsia" w:ascii="仿宋" w:hAnsi="仿宋" w:eastAsia="仿宋" w:cs="仿宋"/>
          <w:color w:val="auto"/>
          <w:kern w:val="2"/>
          <w:sz w:val="32"/>
          <w:szCs w:val="32"/>
          <w:lang w:eastAsia="zh-CN"/>
        </w:rPr>
      </w:pPr>
    </w:p>
    <w:p>
      <w:pPr>
        <w:spacing w:line="360" w:lineRule="auto"/>
        <w:ind w:firstLine="640" w:firstLineChars="200"/>
        <w:outlineLvl w:val="0"/>
        <w:rPr>
          <w:rFonts w:hint="eastAsia" w:ascii="方正黑体_GBK" w:hAnsi="方正黑体_GBK" w:eastAsia="方正黑体_GBK" w:cs="方正黑体_GBK"/>
          <w:b w:val="0"/>
          <w:bCs/>
          <w:color w:val="auto"/>
          <w:kern w:val="44"/>
          <w:sz w:val="32"/>
          <w:szCs w:val="32"/>
          <w:lang w:val="en-US" w:eastAsia="zh-CN" w:bidi="ar-SA"/>
        </w:rPr>
      </w:pPr>
      <w:bookmarkStart w:id="26" w:name="_Toc32658"/>
      <w:bookmarkStart w:id="27" w:name="_Toc22153"/>
      <w:r>
        <w:rPr>
          <w:rFonts w:hint="eastAsia" w:ascii="方正黑体_GBK" w:hAnsi="方正黑体_GBK" w:eastAsia="方正黑体_GBK" w:cs="方正黑体_GBK"/>
          <w:b w:val="0"/>
          <w:bCs/>
          <w:color w:val="auto"/>
          <w:kern w:val="44"/>
          <w:sz w:val="32"/>
          <w:szCs w:val="32"/>
          <w:lang w:val="en-US" w:eastAsia="zh-CN" w:bidi="ar-SA"/>
        </w:rPr>
        <w:t>四、保障措施</w:t>
      </w:r>
      <w:bookmarkEnd w:id="26"/>
      <w:bookmarkEnd w:id="27"/>
    </w:p>
    <w:p>
      <w:pPr>
        <w:pStyle w:val="8"/>
        <w:widowControl/>
        <w:numPr>
          <w:ilvl w:val="0"/>
          <w:numId w:val="0"/>
        </w:numPr>
        <w:spacing w:beforeAutospacing="0" w:afterAutospacing="0" w:line="592" w:lineRule="atLeast"/>
        <w:ind w:right="0" w:rightChars="0" w:firstLine="643" w:firstLineChars="200"/>
        <w:jc w:val="both"/>
        <w:outlineLvl w:val="1"/>
        <w:rPr>
          <w:rFonts w:hint="eastAsia" w:ascii="方正楷体_GBK" w:hAnsi="方正楷体_GBK" w:eastAsia="方正楷体_GBK" w:cs="方正楷体_GBK"/>
          <w:b/>
          <w:color w:val="auto"/>
          <w:kern w:val="0"/>
          <w:sz w:val="32"/>
          <w:szCs w:val="32"/>
          <w:lang w:val="en-US" w:eastAsia="zh-CN" w:bidi="ar-SA"/>
        </w:rPr>
      </w:pPr>
      <w:bookmarkStart w:id="28" w:name="_Toc3931"/>
      <w:r>
        <w:rPr>
          <w:rFonts w:hint="eastAsia" w:ascii="方正楷体_GBK" w:hAnsi="方正楷体_GBK" w:eastAsia="方正楷体_GBK" w:cs="方正楷体_GBK"/>
          <w:b/>
          <w:color w:val="auto"/>
          <w:kern w:val="0"/>
          <w:sz w:val="32"/>
          <w:szCs w:val="32"/>
          <w:lang w:val="en-US" w:eastAsia="zh-CN" w:bidi="ar-SA"/>
        </w:rPr>
        <w:t>（一）加强党的全面领导。</w:t>
      </w:r>
      <w:bookmarkEnd w:id="28"/>
    </w:p>
    <w:p>
      <w:pPr>
        <w:pStyle w:val="8"/>
        <w:widowControl/>
        <w:numPr>
          <w:ilvl w:val="0"/>
          <w:numId w:val="0"/>
        </w:numPr>
        <w:spacing w:beforeAutospacing="0" w:afterAutospacing="0" w:line="592" w:lineRule="atLeast"/>
        <w:ind w:right="0" w:rightChars="0" w:firstLine="640" w:firstLineChars="200"/>
        <w:jc w:val="both"/>
        <w:rPr>
          <w:rFonts w:hint="eastAsia" w:ascii="仿宋" w:hAnsi="仿宋" w:eastAsia="仿宋" w:cs="仿宋"/>
          <w:color w:val="auto"/>
          <w:kern w:val="2"/>
          <w:sz w:val="32"/>
          <w:szCs w:val="32"/>
          <w:lang w:eastAsia="zh-CN"/>
        </w:rPr>
      </w:pPr>
      <w:r>
        <w:rPr>
          <w:rFonts w:hint="eastAsia" w:ascii="仿宋" w:hAnsi="仿宋" w:eastAsia="仿宋" w:cs="仿宋"/>
          <w:b w:val="0"/>
          <w:bCs w:val="0"/>
          <w:color w:val="auto"/>
          <w:kern w:val="2"/>
          <w:sz w:val="32"/>
          <w:szCs w:val="32"/>
          <w:lang w:val="en-US" w:eastAsia="zh-CN" w:bidi="ar-SA"/>
        </w:rPr>
        <w:t>全面加强党对医疗保障事业的集中统一领导，医疗保障系统各级党组织要增强“四个意识”,坚定“四个自信”,做到“两个维护”，不断提高贯彻新发展理念、构建新发展格局能力和水平，加快把党的政治优势、制度优势转化为发展优势，把党的领导贯彻到医疗保障制度改革发展全过程，坚持以项目为抓手带动规划实施，</w:t>
      </w:r>
      <w:r>
        <w:rPr>
          <w:rFonts w:hint="eastAsia" w:ascii="仿宋" w:hAnsi="仿宋" w:eastAsia="仿宋" w:cs="仿宋"/>
          <w:color w:val="auto"/>
          <w:kern w:val="2"/>
          <w:sz w:val="32"/>
          <w:szCs w:val="32"/>
          <w:lang w:eastAsia="zh-CN"/>
        </w:rPr>
        <w:t>加强对规划实施情况的跟踪分析和监督检查。</w:t>
      </w:r>
    </w:p>
    <w:p>
      <w:pPr>
        <w:pStyle w:val="8"/>
        <w:widowControl/>
        <w:numPr>
          <w:ilvl w:val="0"/>
          <w:numId w:val="0"/>
        </w:numPr>
        <w:spacing w:beforeAutospacing="0" w:afterAutospacing="0" w:line="592" w:lineRule="atLeast"/>
        <w:ind w:right="0" w:rightChars="0" w:firstLine="643" w:firstLineChars="200"/>
        <w:jc w:val="both"/>
        <w:outlineLvl w:val="1"/>
        <w:rPr>
          <w:rFonts w:hint="eastAsia" w:ascii="方正楷体_GBK" w:hAnsi="方正楷体_GBK" w:eastAsia="方正楷体_GBK" w:cs="方正楷体_GBK"/>
          <w:b/>
          <w:color w:val="auto"/>
          <w:kern w:val="0"/>
          <w:sz w:val="32"/>
          <w:szCs w:val="32"/>
          <w:lang w:val="en-US" w:eastAsia="zh-CN" w:bidi="ar-SA"/>
        </w:rPr>
      </w:pPr>
      <w:bookmarkStart w:id="29" w:name="_Toc30798"/>
      <w:r>
        <w:rPr>
          <w:rFonts w:hint="eastAsia" w:ascii="方正楷体_GBK" w:hAnsi="方正楷体_GBK" w:eastAsia="方正楷体_GBK" w:cs="方正楷体_GBK"/>
          <w:b/>
          <w:color w:val="auto"/>
          <w:kern w:val="0"/>
          <w:sz w:val="32"/>
          <w:szCs w:val="32"/>
          <w:lang w:val="en-US" w:eastAsia="zh-CN" w:bidi="ar-SA"/>
        </w:rPr>
        <w:t>（二）加强部门协同配合。</w:t>
      </w:r>
      <w:bookmarkEnd w:id="29"/>
    </w:p>
    <w:p>
      <w:pPr>
        <w:pStyle w:val="8"/>
        <w:widowControl/>
        <w:numPr>
          <w:ilvl w:val="0"/>
          <w:numId w:val="0"/>
        </w:numPr>
        <w:spacing w:beforeAutospacing="0" w:afterAutospacing="0" w:line="592" w:lineRule="atLeast"/>
        <w:ind w:right="0" w:rightChars="0" w:firstLine="640" w:firstLineChars="200"/>
        <w:jc w:val="both"/>
        <w:rPr>
          <w:rFonts w:hint="eastAsia" w:ascii="仿宋" w:hAnsi="仿宋" w:eastAsia="仿宋" w:cs="仿宋"/>
          <w:color w:val="auto"/>
          <w:kern w:val="2"/>
          <w:sz w:val="32"/>
          <w:szCs w:val="32"/>
          <w:lang w:eastAsia="zh-CN"/>
        </w:rPr>
      </w:pPr>
      <w:r>
        <w:rPr>
          <w:rFonts w:hint="eastAsia" w:ascii="仿宋" w:hAnsi="仿宋" w:eastAsia="仿宋" w:cs="仿宋"/>
          <w:b w:val="0"/>
          <w:bCs w:val="0"/>
          <w:color w:val="auto"/>
          <w:kern w:val="2"/>
          <w:sz w:val="32"/>
          <w:szCs w:val="32"/>
          <w:lang w:val="en-US" w:eastAsia="zh-CN" w:bidi="ar-SA"/>
        </w:rPr>
        <w:t>加强“三医联动”，建立部门协同机制，加强医保、医疗、医药制度政策之间的统筹协调和综合配套。市医疗保障主管部门</w:t>
      </w:r>
      <w:r>
        <w:rPr>
          <w:rFonts w:hint="eastAsia" w:ascii="仿宋" w:hAnsi="仿宋" w:eastAsia="仿宋" w:cs="仿宋"/>
          <w:b w:val="0"/>
          <w:bCs w:val="0"/>
          <w:color w:val="auto"/>
          <w:kern w:val="2"/>
          <w:sz w:val="32"/>
          <w:szCs w:val="32"/>
          <w:lang w:eastAsia="zh-CN"/>
        </w:rPr>
        <w:t>负责</w:t>
      </w:r>
      <w:r>
        <w:rPr>
          <w:rFonts w:hint="eastAsia" w:ascii="仿宋" w:hAnsi="仿宋" w:eastAsia="仿宋" w:cs="仿宋"/>
          <w:color w:val="auto"/>
          <w:kern w:val="2"/>
          <w:sz w:val="32"/>
          <w:szCs w:val="32"/>
          <w:lang w:eastAsia="zh-CN"/>
        </w:rPr>
        <w:t>统筹推进医疗保障制度改革，会同有关部门研究解决改革中的重大问题，指导全市各地做好医疗保障工作。其他相关部门要依法履职，明确任务，完善政策措施，协同推进改革。</w:t>
      </w:r>
    </w:p>
    <w:p>
      <w:pPr>
        <w:pStyle w:val="8"/>
        <w:widowControl/>
        <w:numPr>
          <w:ilvl w:val="0"/>
          <w:numId w:val="0"/>
        </w:numPr>
        <w:spacing w:beforeAutospacing="0" w:afterAutospacing="0" w:line="592" w:lineRule="atLeast"/>
        <w:ind w:right="0" w:rightChars="0" w:firstLine="643" w:firstLineChars="200"/>
        <w:jc w:val="both"/>
        <w:outlineLvl w:val="1"/>
        <w:rPr>
          <w:rFonts w:hint="eastAsia" w:ascii="方正楷体_GBK" w:hAnsi="方正楷体_GBK" w:eastAsia="方正楷体_GBK" w:cs="方正楷体_GBK"/>
          <w:b/>
          <w:color w:val="auto"/>
          <w:kern w:val="0"/>
          <w:sz w:val="32"/>
          <w:szCs w:val="32"/>
          <w:lang w:val="en-US" w:eastAsia="zh-CN" w:bidi="ar-SA"/>
        </w:rPr>
      </w:pPr>
      <w:bookmarkStart w:id="30" w:name="_Toc27755"/>
      <w:r>
        <w:rPr>
          <w:rFonts w:hint="eastAsia" w:ascii="方正楷体_GBK" w:hAnsi="方正楷体_GBK" w:eastAsia="方正楷体_GBK" w:cs="方正楷体_GBK"/>
          <w:b/>
          <w:color w:val="auto"/>
          <w:kern w:val="0"/>
          <w:sz w:val="32"/>
          <w:szCs w:val="32"/>
          <w:lang w:val="en-US" w:eastAsia="zh-CN" w:bidi="ar-SA"/>
        </w:rPr>
        <w:t>（三）加强舆论氛围营造。</w:t>
      </w:r>
      <w:bookmarkEnd w:id="30"/>
    </w:p>
    <w:p>
      <w:pPr>
        <w:pStyle w:val="8"/>
        <w:widowControl/>
        <w:numPr>
          <w:ilvl w:val="0"/>
          <w:numId w:val="0"/>
        </w:numPr>
        <w:spacing w:beforeAutospacing="0" w:afterAutospacing="0" w:line="592" w:lineRule="atLeast"/>
        <w:ind w:right="0" w:rightChars="0" w:firstLine="640" w:firstLineChars="200"/>
        <w:jc w:val="both"/>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各部门要主动积极做好医疗保障政策解读和宣传，加强医疗保障制度改革的宣传推广、科学引导和典型报道，及时回应社会关切，有效合理引导预期，注重倾听群众呼声，做好舆情精准研判。充分调动各方支持配合改革的积极性和主动性，凝聚社会共识。加强对定点医药机构和广大参保人员有关医保法律法规政策宣传，树立参保人的健康管理意识，提高定点医药机构和参保人员法治意识。</w:t>
      </w:r>
    </w:p>
    <w:p>
      <w:pPr>
        <w:pStyle w:val="8"/>
        <w:widowControl/>
        <w:numPr>
          <w:ilvl w:val="0"/>
          <w:numId w:val="0"/>
        </w:numPr>
        <w:spacing w:beforeAutospacing="0" w:afterAutospacing="0" w:line="592" w:lineRule="atLeast"/>
        <w:ind w:right="0" w:rightChars="0" w:firstLine="643" w:firstLineChars="200"/>
        <w:jc w:val="both"/>
        <w:outlineLvl w:val="1"/>
        <w:rPr>
          <w:rFonts w:hint="eastAsia" w:ascii="方正楷体_GBK" w:hAnsi="方正楷体_GBK" w:eastAsia="方正楷体_GBK" w:cs="方正楷体_GBK"/>
          <w:b/>
          <w:color w:val="auto"/>
          <w:kern w:val="0"/>
          <w:sz w:val="32"/>
          <w:szCs w:val="32"/>
          <w:lang w:val="en-US" w:eastAsia="zh-CN" w:bidi="ar-SA"/>
        </w:rPr>
      </w:pPr>
      <w:bookmarkStart w:id="31" w:name="_Toc1954"/>
      <w:r>
        <w:rPr>
          <w:rFonts w:hint="eastAsia" w:ascii="方正楷体_GBK" w:hAnsi="方正楷体_GBK" w:eastAsia="方正楷体_GBK" w:cs="方正楷体_GBK"/>
          <w:b/>
          <w:color w:val="auto"/>
          <w:kern w:val="0"/>
          <w:sz w:val="32"/>
          <w:szCs w:val="32"/>
          <w:lang w:val="en-US" w:eastAsia="zh-CN" w:bidi="ar-SA"/>
        </w:rPr>
        <w:t>（四）加强规划监测评估。</w:t>
      </w:r>
      <w:bookmarkEnd w:id="31"/>
    </w:p>
    <w:p>
      <w:pPr>
        <w:pStyle w:val="8"/>
        <w:widowControl/>
        <w:numPr>
          <w:ilvl w:val="0"/>
          <w:numId w:val="0"/>
        </w:numPr>
        <w:spacing w:beforeAutospacing="0" w:afterAutospacing="0" w:line="592" w:lineRule="atLeast"/>
        <w:ind w:right="0" w:rightChars="0" w:firstLine="640" w:firstLineChars="200"/>
        <w:jc w:val="both"/>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规划确定的指标和任务，是对全市人民群众的郑重承诺，要建立健全规划实施机制。积极开展规划实施情况监测评价，接受人大、政协和人民群众等各方面的全面监督。鼓励多方参与，积极引入第三方评估，确保规划部署落到实处、改革成果人民共享。</w:t>
      </w:r>
    </w:p>
    <w:p>
      <w:pPr>
        <w:rPr>
          <w:color w:val="auto"/>
        </w:rPr>
      </w:pPr>
    </w:p>
    <w:p>
      <w:pPr>
        <w:rPr>
          <w:color w:val="auto"/>
        </w:rPr>
      </w:pPr>
    </w:p>
    <w:sectPr>
      <w:footerReference r:id="rId5" w:type="default"/>
      <w:pgSz w:w="11906" w:h="16838"/>
      <w:pgMar w:top="1984" w:right="1474" w:bottom="113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63C8AE"/>
    <w:multiLevelType w:val="singleLevel"/>
    <w:tmpl w:val="B863C8AE"/>
    <w:lvl w:ilvl="0" w:tentative="0">
      <w:start w:val="1"/>
      <w:numFmt w:val="decimal"/>
      <w:suff w:val="nothing"/>
      <w:lvlText w:val="%1．"/>
      <w:lvlJc w:val="left"/>
      <w:pPr>
        <w:ind w:left="0" w:firstLine="400"/>
      </w:pPr>
      <w:rPr>
        <w:rFonts w:hint="default"/>
        <w:sz w:val="24"/>
        <w:szCs w:val="24"/>
      </w:rPr>
    </w:lvl>
  </w:abstractNum>
  <w:abstractNum w:abstractNumId="1">
    <w:nsid w:val="F801F8FB"/>
    <w:multiLevelType w:val="singleLevel"/>
    <w:tmpl w:val="F801F8FB"/>
    <w:lvl w:ilvl="0" w:tentative="0">
      <w:start w:val="1"/>
      <w:numFmt w:val="decimal"/>
      <w:suff w:val="nothing"/>
      <w:lvlText w:val="%1．"/>
      <w:lvlJc w:val="left"/>
      <w:pPr>
        <w:ind w:left="0" w:firstLine="400"/>
      </w:pPr>
      <w:rPr>
        <w:rFonts w:hint="default"/>
      </w:rPr>
    </w:lvl>
  </w:abstractNum>
  <w:abstractNum w:abstractNumId="2">
    <w:nsid w:val="24D51248"/>
    <w:multiLevelType w:val="singleLevel"/>
    <w:tmpl w:val="24D51248"/>
    <w:lvl w:ilvl="0" w:tentative="0">
      <w:start w:val="1"/>
      <w:numFmt w:val="chineseCounting"/>
      <w:suff w:val="nothing"/>
      <w:lvlText w:val="%1、"/>
      <w:lvlJc w:val="left"/>
      <w:rPr>
        <w:rFonts w:hint="eastAsia"/>
      </w:rPr>
    </w:lvl>
  </w:abstractNum>
  <w:abstractNum w:abstractNumId="3">
    <w:nsid w:val="4C4A578E"/>
    <w:multiLevelType w:val="singleLevel"/>
    <w:tmpl w:val="4C4A578E"/>
    <w:lvl w:ilvl="0" w:tentative="0">
      <w:start w:val="2"/>
      <w:numFmt w:val="decimal"/>
      <w:suff w:val="nothing"/>
      <w:lvlText w:val="%1、"/>
      <w:lvlJc w:val="left"/>
    </w:lvl>
  </w:abstractNum>
  <w:abstractNum w:abstractNumId="4">
    <w:nsid w:val="7382D317"/>
    <w:multiLevelType w:val="singleLevel"/>
    <w:tmpl w:val="7382D317"/>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B3B4B"/>
    <w:rsid w:val="04461F7D"/>
    <w:rsid w:val="08C741D9"/>
    <w:rsid w:val="0A0A78E5"/>
    <w:rsid w:val="0A1B6A4C"/>
    <w:rsid w:val="0AAE7319"/>
    <w:rsid w:val="0BFA53FB"/>
    <w:rsid w:val="0FE632FA"/>
    <w:rsid w:val="10500492"/>
    <w:rsid w:val="108949A0"/>
    <w:rsid w:val="132723B5"/>
    <w:rsid w:val="1565422D"/>
    <w:rsid w:val="162C5C2F"/>
    <w:rsid w:val="167734A3"/>
    <w:rsid w:val="168F3DFD"/>
    <w:rsid w:val="17066356"/>
    <w:rsid w:val="18C43019"/>
    <w:rsid w:val="19A95184"/>
    <w:rsid w:val="1E503C14"/>
    <w:rsid w:val="22D402FC"/>
    <w:rsid w:val="25B553D0"/>
    <w:rsid w:val="301A1B09"/>
    <w:rsid w:val="30760C45"/>
    <w:rsid w:val="350B3B4B"/>
    <w:rsid w:val="3BA728AA"/>
    <w:rsid w:val="3EDD20B6"/>
    <w:rsid w:val="429C453B"/>
    <w:rsid w:val="42F51E9D"/>
    <w:rsid w:val="49D529B0"/>
    <w:rsid w:val="49EA2030"/>
    <w:rsid w:val="507022AA"/>
    <w:rsid w:val="521D6D1B"/>
    <w:rsid w:val="54F75F49"/>
    <w:rsid w:val="5AD952C2"/>
    <w:rsid w:val="5F2B2A77"/>
    <w:rsid w:val="5FC2280C"/>
    <w:rsid w:val="629E620F"/>
    <w:rsid w:val="6CA57220"/>
    <w:rsid w:val="6D9C31E3"/>
    <w:rsid w:val="6E697118"/>
    <w:rsid w:val="74445E20"/>
    <w:rsid w:val="757B6D95"/>
    <w:rsid w:val="760B6D06"/>
    <w:rsid w:val="7A52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NormalIndent"/>
    <w:basedOn w:val="1"/>
    <w:qFormat/>
    <w:uiPriority w:val="0"/>
    <w:pPr>
      <w:ind w:firstLine="420" w:firstLineChars="200"/>
      <w:textAlignment w:val="baseline"/>
    </w:pPr>
    <w:rPr>
      <w:rFonts w:ascii="Times New Roman" w:hAnsi="Times New Roman"/>
      <w:kern w:val="0"/>
    </w:rPr>
  </w:style>
  <w:style w:type="paragraph" w:styleId="4">
    <w:name w:val="annotation text"/>
    <w:basedOn w:val="1"/>
    <w:qFormat/>
    <w:uiPriority w:val="0"/>
    <w:pPr>
      <w:jc w:val="left"/>
    </w:pPr>
  </w:style>
  <w:style w:type="paragraph" w:styleId="5">
    <w:name w:val="Body Text Indent 2"/>
    <w:basedOn w:val="1"/>
    <w:qFormat/>
    <w:uiPriority w:val="99"/>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仿宋正文"/>
    <w:basedOn w:val="1"/>
    <w:qFormat/>
    <w:uiPriority w:val="0"/>
    <w:pPr>
      <w:spacing w:line="600" w:lineRule="exact"/>
      <w:ind w:firstLine="420"/>
    </w:pPr>
    <w:rPr>
      <w:rFonts w:ascii="Calibri" w:hAnsi="Calibri" w:eastAsia="方正仿宋简体" w:cs="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2021-12-11T03:23:00Z</dcterms:created>
  <dc:creator>‖ 德里爱人 / </dc:creator>
  <cp:lastModifiedBy>aaa</cp:lastModifiedBy>
  <cp:lastPrinted>2021-12-22T09:49:00Z</cp:lastPrinted>
  <dcterms:modified xsi:type="dcterms:W3CDTF">2021-12-24T07:53:21Z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DEBEA13CE2A4460E8425C22EAA5E95F1</vt:lpwstr>
  </property>
</Properties>
</file>