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640" w:firstLineChars="200"/>
        <w:jc w:val="right"/>
        <w:rPr>
          <w:rFonts w:eastAsia="方正仿宋_GBK"/>
          <w:sz w:val="32"/>
          <w:szCs w:val="32"/>
        </w:rPr>
      </w:pPr>
    </w:p>
    <w:p>
      <w:pPr>
        <w:spacing w:line="540" w:lineRule="exact"/>
        <w:ind w:firstLine="640" w:firstLineChars="200"/>
        <w:jc w:val="right"/>
        <w:rPr>
          <w:rFonts w:eastAsia="方正仿宋_GBK"/>
          <w:sz w:val="32"/>
          <w:szCs w:val="32"/>
        </w:rPr>
      </w:pPr>
    </w:p>
    <w:p>
      <w:pPr>
        <w:spacing w:line="540" w:lineRule="exact"/>
        <w:ind w:firstLine="640" w:firstLineChars="200"/>
        <w:jc w:val="right"/>
        <w:rPr>
          <w:rFonts w:eastAsia="方正仿宋_GBK"/>
          <w:sz w:val="32"/>
          <w:szCs w:val="32"/>
        </w:rPr>
      </w:pPr>
    </w:p>
    <w:p>
      <w:pPr>
        <w:spacing w:line="540" w:lineRule="exact"/>
        <w:ind w:firstLine="640" w:firstLineChars="200"/>
        <w:jc w:val="center"/>
        <w:rPr>
          <w:rFonts w:eastAsia="方正仿宋_GBK"/>
          <w:sz w:val="32"/>
          <w:szCs w:val="32"/>
        </w:rPr>
      </w:pPr>
      <w:r>
        <w:rPr>
          <w:rFonts w:eastAsia="方正仿宋_GBK"/>
          <w:sz w:val="32"/>
          <w:szCs w:val="32"/>
        </w:rPr>
        <w:t>宿政</w:t>
      </w:r>
      <w:r>
        <w:rPr>
          <w:rFonts w:hint="eastAsia" w:eastAsia="方正仿宋_GBK"/>
          <w:sz w:val="32"/>
          <w:szCs w:val="32"/>
        </w:rPr>
        <w:t>办</w:t>
      </w:r>
      <w:r>
        <w:rPr>
          <w:rFonts w:eastAsia="方正仿宋_GBK"/>
          <w:sz w:val="32"/>
          <w:szCs w:val="32"/>
        </w:rPr>
        <w:t>秘〔20</w:t>
      </w:r>
      <w:r>
        <w:rPr>
          <w:rFonts w:hint="eastAsia" w:eastAsia="方正仿宋_GBK"/>
          <w:sz w:val="32"/>
          <w:szCs w:val="32"/>
        </w:rPr>
        <w:t>21</w:t>
      </w:r>
      <w:r>
        <w:rPr>
          <w:rFonts w:eastAsia="方正仿宋_GBK"/>
          <w:sz w:val="32"/>
          <w:szCs w:val="32"/>
        </w:rPr>
        <w:t>〕</w:t>
      </w:r>
      <w:r>
        <w:rPr>
          <w:rFonts w:hint="eastAsia" w:eastAsia="方正仿宋_GBK"/>
          <w:sz w:val="32"/>
          <w:szCs w:val="32"/>
        </w:rPr>
        <w:t>22</w:t>
      </w:r>
      <w:r>
        <w:rPr>
          <w:rFonts w:eastAsia="方正仿宋_GBK"/>
          <w:sz w:val="32"/>
          <w:szCs w:val="32"/>
        </w:rPr>
        <w:t>号</w:t>
      </w:r>
    </w:p>
    <w:p>
      <w:pPr>
        <w:spacing w:line="600" w:lineRule="exact"/>
        <w:rPr>
          <w:rFonts w:hint="eastAsia" w:eastAsia="方正仿宋_GBK"/>
          <w:sz w:val="32"/>
          <w:szCs w:val="32"/>
        </w:rPr>
      </w:pPr>
    </w:p>
    <w:p>
      <w:pPr>
        <w:spacing w:line="600" w:lineRule="exact"/>
        <w:rPr>
          <w:rFonts w:eastAsia="方正小标宋_GBK"/>
          <w:sz w:val="44"/>
          <w:szCs w:val="44"/>
        </w:rPr>
      </w:pPr>
    </w:p>
    <w:p>
      <w:pPr>
        <w:overflowPunct w:val="0"/>
        <w:topLinePunct/>
        <w:adjustRightInd w:val="0"/>
        <w:spacing w:line="600" w:lineRule="exact"/>
        <w:jc w:val="center"/>
        <w:rPr>
          <w:rFonts w:hint="eastAsia" w:eastAsia="方正小标宋_GBK"/>
          <w:sz w:val="44"/>
          <w:szCs w:val="44"/>
        </w:rPr>
      </w:pPr>
      <w:r>
        <w:rPr>
          <w:rFonts w:eastAsia="方正小标宋_GBK"/>
          <w:sz w:val="44"/>
          <w:szCs w:val="44"/>
        </w:rPr>
        <w:t>宿州市人民政府办公室关于印发全面推进</w:t>
      </w:r>
    </w:p>
    <w:p>
      <w:pPr>
        <w:overflowPunct w:val="0"/>
        <w:topLinePunct/>
        <w:adjustRightInd w:val="0"/>
        <w:spacing w:line="600" w:lineRule="exact"/>
        <w:jc w:val="center"/>
        <w:rPr>
          <w:rFonts w:eastAsia="方正小标宋_GBK"/>
          <w:sz w:val="44"/>
          <w:szCs w:val="44"/>
        </w:rPr>
      </w:pPr>
      <w:r>
        <w:rPr>
          <w:rFonts w:eastAsia="方正小标宋_GBK"/>
          <w:sz w:val="44"/>
          <w:szCs w:val="44"/>
        </w:rPr>
        <w:t>城镇老旧小区改造工作实施方案的通知</w:t>
      </w:r>
      <w:bookmarkStart w:id="0" w:name="_GoBack"/>
      <w:bookmarkEnd w:id="0"/>
      <w:permStart w:id="0" w:edGrp="everyone"/>
      <w:permEnd w:id="0"/>
    </w:p>
    <w:p>
      <w:pPr>
        <w:overflowPunct w:val="0"/>
        <w:topLinePunct/>
        <w:adjustRightInd w:val="0"/>
        <w:spacing w:line="600" w:lineRule="exact"/>
        <w:rPr>
          <w:rFonts w:eastAsia="方正仿宋_GBK"/>
          <w:sz w:val="32"/>
          <w:szCs w:val="32"/>
        </w:rPr>
      </w:pPr>
    </w:p>
    <w:p>
      <w:pPr>
        <w:overflowPunct w:val="0"/>
        <w:topLinePunct/>
        <w:adjustRightInd w:val="0"/>
        <w:spacing w:line="600" w:lineRule="exact"/>
        <w:rPr>
          <w:rFonts w:eastAsia="方正仿宋_GBK"/>
          <w:sz w:val="32"/>
          <w:szCs w:val="32"/>
        </w:rPr>
      </w:pPr>
      <w:r>
        <w:rPr>
          <w:rFonts w:eastAsia="方正仿宋_GBK"/>
          <w:sz w:val="32"/>
          <w:szCs w:val="32"/>
        </w:rPr>
        <w:t>各县、区人民政府，市政府各部门、各直属机构：</w:t>
      </w:r>
    </w:p>
    <w:p>
      <w:pPr>
        <w:overflowPunct w:val="0"/>
        <w:topLinePunct/>
        <w:adjustRightInd w:val="0"/>
        <w:spacing w:line="600" w:lineRule="exact"/>
        <w:ind w:firstLine="640" w:firstLineChars="200"/>
        <w:rPr>
          <w:rFonts w:eastAsia="方正仿宋_GBK"/>
          <w:sz w:val="32"/>
          <w:szCs w:val="32"/>
        </w:rPr>
      </w:pPr>
      <w:r>
        <w:rPr>
          <w:rFonts w:eastAsia="方正仿宋_GBK"/>
          <w:sz w:val="32"/>
          <w:szCs w:val="32"/>
        </w:rPr>
        <w:t>《全面推进城镇老旧小区改造工作实施方案》已经2021年</w:t>
      </w:r>
      <w:r>
        <w:rPr>
          <w:rFonts w:hint="eastAsia" w:eastAsia="方正仿宋_GBK"/>
          <w:sz w:val="32"/>
          <w:szCs w:val="32"/>
        </w:rPr>
        <w:t>6</w:t>
      </w:r>
      <w:r>
        <w:rPr>
          <w:rFonts w:eastAsia="方正仿宋_GBK"/>
          <w:sz w:val="32"/>
          <w:szCs w:val="32"/>
        </w:rPr>
        <w:t>月</w:t>
      </w:r>
      <w:r>
        <w:rPr>
          <w:rFonts w:hint="eastAsia" w:eastAsia="方正仿宋_GBK"/>
          <w:sz w:val="32"/>
          <w:szCs w:val="32"/>
        </w:rPr>
        <w:t>24</w:t>
      </w:r>
      <w:r>
        <w:rPr>
          <w:rFonts w:eastAsia="方正仿宋_GBK"/>
          <w:sz w:val="32"/>
          <w:szCs w:val="32"/>
        </w:rPr>
        <w:t>日市政府第</w:t>
      </w:r>
      <w:r>
        <w:rPr>
          <w:rFonts w:hint="eastAsia" w:eastAsia="方正仿宋_GBK"/>
          <w:sz w:val="32"/>
          <w:szCs w:val="32"/>
        </w:rPr>
        <w:t>59</w:t>
      </w:r>
      <w:r>
        <w:rPr>
          <w:rFonts w:eastAsia="方正仿宋_GBK"/>
          <w:sz w:val="32"/>
          <w:szCs w:val="32"/>
        </w:rPr>
        <w:t>次常务会议审议通过，现印发给你们，请认真</w:t>
      </w:r>
      <w:r>
        <w:rPr>
          <w:rFonts w:hint="eastAsia" w:eastAsia="方正仿宋_GBK"/>
          <w:sz w:val="32"/>
          <w:szCs w:val="32"/>
        </w:rPr>
        <w:t>组织实施</w:t>
      </w:r>
      <w:r>
        <w:rPr>
          <w:rFonts w:eastAsia="方正仿宋_GBK"/>
          <w:sz w:val="32"/>
          <w:szCs w:val="32"/>
        </w:rPr>
        <w:t>。</w:t>
      </w:r>
    </w:p>
    <w:p>
      <w:pPr>
        <w:overflowPunct w:val="0"/>
        <w:topLinePunct/>
        <w:adjustRightInd w:val="0"/>
        <w:spacing w:line="460" w:lineRule="exact"/>
        <w:ind w:firstLine="4480" w:firstLineChars="1400"/>
        <w:rPr>
          <w:rFonts w:hint="eastAsia" w:eastAsia="方正仿宋_GBK"/>
          <w:sz w:val="32"/>
          <w:szCs w:val="32"/>
        </w:rPr>
      </w:pPr>
    </w:p>
    <w:p>
      <w:pPr>
        <w:overflowPunct w:val="0"/>
        <w:topLinePunct/>
        <w:adjustRightInd w:val="0"/>
        <w:spacing w:line="460" w:lineRule="exact"/>
        <w:ind w:firstLine="4480" w:firstLineChars="1400"/>
        <w:rPr>
          <w:rFonts w:hint="eastAsia" w:eastAsia="方正仿宋_GBK"/>
          <w:sz w:val="32"/>
          <w:szCs w:val="32"/>
        </w:rPr>
      </w:pPr>
    </w:p>
    <w:p>
      <w:pPr>
        <w:overflowPunct w:val="0"/>
        <w:topLinePunct/>
        <w:adjustRightInd w:val="0"/>
        <w:spacing w:line="460" w:lineRule="exact"/>
        <w:ind w:firstLine="4480" w:firstLineChars="1400"/>
        <w:rPr>
          <w:rFonts w:hint="eastAsia" w:eastAsia="方正仿宋_GBK"/>
          <w:sz w:val="32"/>
          <w:szCs w:val="32"/>
        </w:rPr>
      </w:pPr>
    </w:p>
    <w:p>
      <w:pPr>
        <w:overflowPunct w:val="0"/>
        <w:topLinePunct/>
        <w:adjustRightInd w:val="0"/>
        <w:spacing w:line="460" w:lineRule="exact"/>
        <w:ind w:firstLine="4480" w:firstLineChars="1400"/>
        <w:rPr>
          <w:rFonts w:hint="eastAsia" w:eastAsia="方正仿宋_GBK"/>
          <w:sz w:val="32"/>
          <w:szCs w:val="32"/>
        </w:rPr>
      </w:pPr>
    </w:p>
    <w:p>
      <w:pPr>
        <w:tabs>
          <w:tab w:val="left" w:pos="7513"/>
        </w:tabs>
        <w:overflowPunct w:val="0"/>
        <w:topLinePunct/>
        <w:adjustRightInd w:val="0"/>
        <w:spacing w:line="460" w:lineRule="exact"/>
        <w:ind w:firstLine="4960" w:firstLineChars="1550"/>
        <w:rPr>
          <w:rFonts w:hint="eastAsia" w:eastAsia="方正仿宋_GBK"/>
          <w:sz w:val="32"/>
          <w:szCs w:val="32"/>
        </w:rPr>
      </w:pPr>
      <w:r>
        <w:rPr>
          <w:rFonts w:eastAsia="方正仿宋_GBK"/>
          <w:sz w:val="32"/>
          <w:szCs w:val="32"/>
        </w:rPr>
        <w:t>2021年7月</w:t>
      </w:r>
      <w:r>
        <w:rPr>
          <w:rFonts w:hint="eastAsia" w:eastAsia="方正仿宋_GBK"/>
          <w:sz w:val="32"/>
          <w:szCs w:val="32"/>
        </w:rPr>
        <w:t>12</w:t>
      </w:r>
      <w:r>
        <w:rPr>
          <w:rFonts w:eastAsia="方正仿宋_GBK"/>
          <w:sz w:val="32"/>
          <w:szCs w:val="32"/>
        </w:rPr>
        <w:t>日</w: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pPr>
    </w:p>
    <w:p>
      <w:pPr>
        <w:pStyle w:val="3"/>
        <w:overflowPunct w:val="0"/>
        <w:topLinePunct/>
        <w:adjustRightInd w:val="0"/>
        <w:spacing w:line="600" w:lineRule="exact"/>
        <w:ind w:firstLine="0" w:firstLineChars="0"/>
        <w:rPr>
          <w:rFonts w:ascii="Times New Roman" w:hAnsi="Times New Roman" w:eastAsia="方正小标宋简体"/>
          <w:sz w:val="44"/>
          <w:szCs w:val="44"/>
        </w:rPr>
      </w:pPr>
    </w:p>
    <w:p>
      <w:pPr>
        <w:pStyle w:val="3"/>
        <w:overflowPunct w:val="0"/>
        <w:topLinePunct/>
        <w:adjustRightInd w:val="0"/>
        <w:spacing w:line="600" w:lineRule="exact"/>
        <w:ind w:firstLine="0" w:firstLineChars="0"/>
        <w:rPr>
          <w:rFonts w:hint="eastAsia" w:ascii="Times New Roman" w:hAnsi="Times New Roman" w:eastAsia="方正小标宋简体"/>
          <w:sz w:val="44"/>
          <w:szCs w:val="44"/>
        </w:rPr>
      </w:pPr>
    </w:p>
    <w:p>
      <w:pPr>
        <w:pStyle w:val="3"/>
        <w:overflowPunct w:val="0"/>
        <w:topLinePunct/>
        <w:adjustRightInd w:val="0"/>
        <w:spacing w:line="600" w:lineRule="exact"/>
        <w:ind w:firstLine="0" w:firstLineChars="0"/>
        <w:rPr>
          <w:rFonts w:ascii="Times New Roman" w:hAnsi="Times New Roman" w:eastAsia="方正小标宋简体"/>
          <w:sz w:val="44"/>
          <w:szCs w:val="44"/>
        </w:rPr>
      </w:pPr>
    </w:p>
    <w:p>
      <w:pPr>
        <w:pStyle w:val="3"/>
        <w:overflowPunct w:val="0"/>
        <w:topLinePunct/>
        <w:adjustRightInd w:val="0"/>
        <w:spacing w:line="600" w:lineRule="exact"/>
        <w:ind w:firstLine="0" w:firstLineChars="0"/>
        <w:jc w:val="center"/>
        <w:rPr>
          <w:rFonts w:ascii="Times New Roman" w:hAnsi="Times New Roman" w:eastAsia="方正小标宋_GBK"/>
          <w:sz w:val="44"/>
          <w:szCs w:val="44"/>
        </w:rPr>
      </w:pPr>
      <w:r>
        <w:rPr>
          <w:rFonts w:ascii="Times New Roman" w:hAnsi="Times New Roman" w:eastAsia="方正小标宋_GBK"/>
          <w:sz w:val="44"/>
          <w:szCs w:val="44"/>
        </w:rPr>
        <w:t>全面推进城镇老旧小区改造工作实施方案</w:t>
      </w:r>
    </w:p>
    <w:p>
      <w:pPr>
        <w:pStyle w:val="3"/>
        <w:overflowPunct w:val="0"/>
        <w:topLinePunct/>
        <w:adjustRightInd w:val="0"/>
        <w:spacing w:line="600" w:lineRule="exact"/>
        <w:ind w:firstLine="640"/>
        <w:rPr>
          <w:rFonts w:ascii="Times New Roman" w:hAnsi="Times New Roman" w:eastAsia="方正仿宋_GBK"/>
          <w:sz w:val="32"/>
          <w:szCs w:val="32"/>
        </w:rPr>
      </w:pPr>
    </w:p>
    <w:p>
      <w:pPr>
        <w:pStyle w:val="7"/>
        <w:overflowPunct w:val="0"/>
        <w:topLinePunct/>
        <w:spacing w:line="60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为深入贯彻落实习近平总书记考察安徽重要讲话指示精神和《国务院办公厅关于全面推进城镇老旧小区改造工作的指导意见》（国办发〔2020〕23号），提升改善我市城镇居民居住环境和功能品质，达到惠民生促发展扩内需目的，根据《安徽省人民政府办公厅关于印发全面推进城镇老旧小区改造工作实施方案的通知》（皖政办〔2020〕21号）要求，结合我市实际，制定本实施方案。</w:t>
      </w:r>
    </w:p>
    <w:p>
      <w:pPr>
        <w:pStyle w:val="3"/>
        <w:tabs>
          <w:tab w:val="left" w:pos="1261"/>
        </w:tabs>
        <w:overflowPunct w:val="0"/>
        <w:topLinePunct/>
        <w:adjustRightInd w:val="0"/>
        <w:spacing w:line="600" w:lineRule="exact"/>
        <w:ind w:firstLine="640"/>
        <w:rPr>
          <w:rFonts w:ascii="Times New Roman" w:hAnsi="Times New Roman" w:eastAsia="方正黑体_GBK"/>
          <w:sz w:val="32"/>
          <w:szCs w:val="32"/>
        </w:rPr>
      </w:pPr>
      <w:r>
        <w:rPr>
          <w:rFonts w:ascii="Times New Roman" w:hAnsi="Times New Roman" w:eastAsia="方正黑体_GBK"/>
          <w:sz w:val="32"/>
          <w:szCs w:val="32"/>
        </w:rPr>
        <w:t>一、明确工作目标，把握具体要求</w:t>
      </w:r>
    </w:p>
    <w:p>
      <w:pPr>
        <w:pStyle w:val="3"/>
        <w:overflowPunct w:val="0"/>
        <w:topLinePunct/>
        <w:adjustRightInd w:val="0"/>
        <w:spacing w:line="600" w:lineRule="exact"/>
        <w:ind w:firstLine="640"/>
        <w:rPr>
          <w:rFonts w:ascii="Times New Roman" w:hAnsi="Times New Roman" w:eastAsia="方正仿宋_GBK"/>
          <w:color w:val="000000"/>
          <w:sz w:val="32"/>
          <w:szCs w:val="32"/>
        </w:rPr>
      </w:pPr>
      <w:r>
        <w:rPr>
          <w:rFonts w:ascii="Times New Roman" w:hAnsi="Times New Roman" w:eastAsia="方正楷体_GBK"/>
          <w:sz w:val="32"/>
          <w:szCs w:val="32"/>
        </w:rPr>
        <w:t>（一）工作目标</w:t>
      </w:r>
      <w:r>
        <w:rPr>
          <w:rFonts w:hint="eastAsia" w:ascii="Times New Roman" w:hAnsi="Times New Roman" w:eastAsia="方正楷体_GBK"/>
          <w:sz w:val="32"/>
          <w:szCs w:val="32"/>
        </w:rPr>
        <w:t>。</w:t>
      </w:r>
      <w:r>
        <w:rPr>
          <w:rFonts w:ascii="Times New Roman" w:hAnsi="Times New Roman" w:eastAsia="方正仿宋_GBK"/>
          <w:color w:val="000000"/>
          <w:sz w:val="32"/>
          <w:szCs w:val="32"/>
        </w:rPr>
        <w:t>2022年底前，各地形成较完备的城镇老旧小区改造制度框架、政策措施和可持续发展工作机制。到</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十四五</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末</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2000年底前建成的老旧小区做到应改尽改；有条件的县区（</w:t>
      </w:r>
      <w:r>
        <w:rPr>
          <w:rFonts w:hint="eastAsia" w:ascii="Times New Roman" w:hAnsi="Times New Roman" w:eastAsia="方正仿宋_GBK"/>
          <w:color w:val="000000"/>
          <w:sz w:val="32"/>
          <w:szCs w:val="32"/>
        </w:rPr>
        <w:t>市管</w:t>
      </w:r>
      <w:r>
        <w:rPr>
          <w:rFonts w:ascii="Times New Roman" w:hAnsi="Times New Roman" w:eastAsia="方正仿宋_GBK"/>
          <w:color w:val="000000"/>
          <w:sz w:val="32"/>
          <w:szCs w:val="32"/>
        </w:rPr>
        <w:t>园区）</w:t>
      </w:r>
      <w:r>
        <w:rPr>
          <w:rFonts w:ascii="Times New Roman" w:hAnsi="Times New Roman" w:eastAsia="方正仿宋_GBK"/>
          <w:color w:val="000000"/>
          <w:kern w:val="0"/>
          <w:sz w:val="32"/>
          <w:szCs w:val="32"/>
        </w:rPr>
        <w:t>，力争完成2005年底前建成的城镇</w:t>
      </w:r>
      <w:r>
        <w:rPr>
          <w:rFonts w:ascii="Times New Roman" w:hAnsi="Times New Roman" w:eastAsia="方正仿宋_GBK"/>
          <w:color w:val="000000"/>
          <w:sz w:val="32"/>
          <w:szCs w:val="32"/>
        </w:rPr>
        <w:t>老旧小区改造任务。</w:t>
      </w:r>
    </w:p>
    <w:p>
      <w:pPr>
        <w:pStyle w:val="3"/>
        <w:overflowPunct w:val="0"/>
        <w:topLinePunct/>
        <w:adjustRightInd w:val="0"/>
        <w:spacing w:line="600" w:lineRule="exact"/>
        <w:ind w:firstLine="640"/>
        <w:rPr>
          <w:rFonts w:ascii="Times New Roman" w:hAnsi="Times New Roman" w:eastAsia="方正仿宋_GBK"/>
          <w:sz w:val="32"/>
          <w:szCs w:val="32"/>
        </w:rPr>
      </w:pPr>
      <w:r>
        <w:rPr>
          <w:rFonts w:ascii="Times New Roman" w:hAnsi="Times New Roman" w:eastAsia="方正楷体_GBK"/>
          <w:sz w:val="32"/>
          <w:szCs w:val="32"/>
        </w:rPr>
        <w:t>（二）具体要求</w:t>
      </w:r>
      <w:r>
        <w:rPr>
          <w:rFonts w:hint="eastAsia" w:ascii="Times New Roman" w:hAnsi="Times New Roman" w:eastAsia="方正楷体_GBK"/>
          <w:sz w:val="32"/>
          <w:szCs w:val="32"/>
        </w:rPr>
        <w:t>。</w:t>
      </w:r>
      <w:r>
        <w:rPr>
          <w:rFonts w:ascii="Times New Roman" w:hAnsi="Times New Roman" w:eastAsia="方正仿宋_GBK"/>
          <w:sz w:val="32"/>
          <w:szCs w:val="32"/>
        </w:rPr>
        <w:t>将老旧小区改造与海绵城市建设、城市有机更新、城市生态保护与修复相结合，政府加强引导和规划统筹协调，社区党组织加强引领，居民发挥主体作用，社会力量及关联单位积极参与。以小区设施改造、环境优化、服务提升为重点，完善社区治理体系，注重维护城市传统特色风貌，提升历史文化街区、历史建筑等保护利用水平，整体谋划、部门联动，</w:t>
      </w:r>
      <w:r>
        <w:rPr>
          <w:rFonts w:hint="eastAsia" w:ascii="Times New Roman" w:hAnsi="Times New Roman" w:eastAsia="方正仿宋_GBK"/>
          <w:sz w:val="32"/>
          <w:szCs w:val="32"/>
        </w:rPr>
        <w:t>“</w:t>
      </w:r>
      <w:r>
        <w:rPr>
          <w:rFonts w:ascii="Times New Roman" w:hAnsi="Times New Roman" w:eastAsia="方正仿宋_GBK"/>
          <w:sz w:val="32"/>
          <w:szCs w:val="32"/>
        </w:rPr>
        <w:t>一项目一方案</w:t>
      </w:r>
      <w:r>
        <w:rPr>
          <w:rFonts w:hint="eastAsia" w:ascii="Times New Roman" w:hAnsi="Times New Roman" w:eastAsia="方正仿宋_GBK"/>
          <w:sz w:val="32"/>
          <w:szCs w:val="32"/>
        </w:rPr>
        <w:t>”</w:t>
      </w:r>
      <w:r>
        <w:rPr>
          <w:rFonts w:ascii="Times New Roman" w:hAnsi="Times New Roman" w:eastAsia="方正仿宋_GBK"/>
          <w:sz w:val="32"/>
          <w:szCs w:val="32"/>
        </w:rPr>
        <w:t>推进，全面改善城镇老旧小区居住环境和功能品质，推动建设安全健康、设施完善、管理有序的完整居住社区。</w:t>
      </w:r>
    </w:p>
    <w:p>
      <w:pPr>
        <w:pStyle w:val="3"/>
        <w:overflowPunct w:val="0"/>
        <w:topLinePunct/>
        <w:adjustRightInd w:val="0"/>
        <w:spacing w:line="600" w:lineRule="exact"/>
        <w:ind w:firstLine="640"/>
        <w:rPr>
          <w:rFonts w:ascii="Times New Roman" w:hAnsi="Times New Roman" w:eastAsia="方正黑体_GBK"/>
          <w:sz w:val="32"/>
          <w:szCs w:val="32"/>
        </w:rPr>
      </w:pPr>
      <w:r>
        <w:rPr>
          <w:rFonts w:ascii="Times New Roman" w:hAnsi="Times New Roman" w:eastAsia="方正黑体_GBK"/>
          <w:sz w:val="32"/>
          <w:szCs w:val="32"/>
        </w:rPr>
        <w:t>二、坚持科学规划，确定改造重点</w:t>
      </w:r>
    </w:p>
    <w:p>
      <w:pPr>
        <w:pStyle w:val="3"/>
        <w:overflowPunct w:val="0"/>
        <w:topLinePunct/>
        <w:adjustRightInd w:val="0"/>
        <w:spacing w:line="600" w:lineRule="exact"/>
        <w:ind w:firstLine="640"/>
        <w:rPr>
          <w:rFonts w:ascii="Times New Roman" w:hAnsi="Times New Roman" w:eastAsia="方正仿宋_GBK"/>
          <w:color w:val="000000"/>
          <w:sz w:val="32"/>
          <w:szCs w:val="32"/>
        </w:rPr>
      </w:pPr>
      <w:r>
        <w:rPr>
          <w:rFonts w:ascii="Times New Roman" w:hAnsi="Times New Roman" w:eastAsia="方正楷体_GBK"/>
          <w:color w:val="000000"/>
          <w:sz w:val="32"/>
          <w:szCs w:val="32"/>
        </w:rPr>
        <w:t>（一）明确改造对象和范围。</w:t>
      </w:r>
      <w:r>
        <w:rPr>
          <w:rFonts w:ascii="Times New Roman" w:hAnsi="Times New Roman" w:eastAsia="方正仿宋_GBK"/>
          <w:color w:val="000000"/>
          <w:sz w:val="32"/>
          <w:szCs w:val="32"/>
        </w:rPr>
        <w:t>重点改造建成于2000年底前</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基础设施和公共服务设施严重老旧缺失</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居民改造意愿强烈的主城区、</w:t>
      </w:r>
      <w:r>
        <w:rPr>
          <w:rFonts w:hint="eastAsia" w:ascii="Times New Roman" w:hAnsi="Times New Roman" w:eastAsia="方正仿宋_GBK"/>
          <w:color w:val="000000"/>
          <w:sz w:val="32"/>
          <w:szCs w:val="32"/>
        </w:rPr>
        <w:t>市管</w:t>
      </w:r>
      <w:r>
        <w:rPr>
          <w:rFonts w:ascii="Times New Roman" w:hAnsi="Times New Roman" w:eastAsia="方正仿宋_GBK"/>
          <w:color w:val="000000"/>
          <w:sz w:val="32"/>
          <w:szCs w:val="32"/>
        </w:rPr>
        <w:t>园区、县城（城关镇）住宅小区（包括移交政府安置的军队离退休干部住宅小区）。已实施基础类改造的小区，可在改造内容不重复的前提下，对房屋、小区环境和配套设施等进行改造完善和提升，提高品质。支持对小区内危险房屋进行治理。鼓励有条件的地方在重点改造小区应改尽改前提下，适当放宽改造年限，提前对2005年底前建成的老旧小区进行改造，但在2022年计划任务中，2000年底后至2005年底前建成的房屋改造计划占比不得超过15%（按居民户数统计）。严禁借城镇老旧小区改造之名变相进行房地产开发。</w:t>
      </w:r>
    </w:p>
    <w:p>
      <w:pPr>
        <w:pStyle w:val="3"/>
        <w:overflowPunct w:val="0"/>
        <w:topLinePunct/>
        <w:adjustRightInd w:val="0"/>
        <w:spacing w:line="600" w:lineRule="exact"/>
        <w:ind w:firstLine="640"/>
        <w:rPr>
          <w:rFonts w:hint="eastAsia" w:ascii="Times New Roman" w:hAnsi="Times New Roman" w:eastAsia="方正仿宋_GBK"/>
          <w:color w:val="000000"/>
          <w:sz w:val="32"/>
          <w:szCs w:val="32"/>
        </w:rPr>
      </w:pPr>
      <w:r>
        <w:rPr>
          <w:rFonts w:ascii="Times New Roman" w:hAnsi="Times New Roman" w:eastAsia="方正楷体_GBK"/>
          <w:color w:val="000000"/>
          <w:sz w:val="32"/>
          <w:szCs w:val="32"/>
        </w:rPr>
        <w:t>（二）完善和提升改造内容。</w:t>
      </w:r>
      <w:r>
        <w:rPr>
          <w:rFonts w:ascii="Times New Roman" w:hAnsi="Times New Roman" w:eastAsia="方正仿宋_GBK"/>
          <w:color w:val="000000"/>
          <w:sz w:val="32"/>
          <w:szCs w:val="32"/>
        </w:rPr>
        <w:t>按照</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内外兼修</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的要求，改造市政基础设施，修缮小区建筑物公共部位，有序开展绿色社区创建和完整居住社区建设，提升人居环境及配套设施建设水平。挖掘小区、片区内空间资源，整合周边零星碎片化土地，利用包括机关企事业单位空置房屋在内的各种社会资源，在老旧小区内及周边健全社区养老、托育、文化、医疗、停车场、无障碍建设、体育健身、应急救援站、警务室、社区卫生服务站等公共服务设施和周界防护等智能感知设施，完善家政、助餐、智能信包箱、便民市场、便利店等社会服务设施。在有条件的老旧小区内</w:t>
      </w:r>
      <w:r>
        <w:rPr>
          <w:rFonts w:hint="eastAsia" w:ascii="Times New Roman" w:hAnsi="Times New Roman" w:eastAsia="方正仿宋_GBK"/>
          <w:color w:val="000000"/>
          <w:sz w:val="32"/>
          <w:szCs w:val="32"/>
        </w:rPr>
        <w:t>探索</w:t>
      </w:r>
      <w:r>
        <w:rPr>
          <w:rFonts w:ascii="Times New Roman" w:hAnsi="Times New Roman" w:eastAsia="方正仿宋_GBK"/>
          <w:color w:val="000000"/>
          <w:sz w:val="32"/>
          <w:szCs w:val="32"/>
        </w:rPr>
        <w:t>新建、改扩建用于公共服务的经营性设施，通过未来收益平衡老旧小区改造支出。</w:t>
      </w:r>
    </w:p>
    <w:p>
      <w:pPr>
        <w:pStyle w:val="7"/>
        <w:overflowPunct w:val="0"/>
        <w:topLinePunct/>
        <w:spacing w:line="600" w:lineRule="exact"/>
        <w:ind w:firstLine="624" w:firstLineChars="200"/>
        <w:jc w:val="both"/>
        <w:rPr>
          <w:rFonts w:hint="eastAsia" w:ascii="Times New Roman" w:hAnsi="Times New Roman" w:eastAsia="方正仿宋_GBK" w:cs="Times New Roman"/>
          <w:spacing w:val="-4"/>
          <w:sz w:val="32"/>
          <w:szCs w:val="32"/>
        </w:rPr>
      </w:pPr>
      <w:r>
        <w:rPr>
          <w:rFonts w:ascii="Times New Roman" w:hAnsi="Times New Roman" w:eastAsia="方正楷体_GBK" w:cs="Times New Roman"/>
          <w:spacing w:val="-4"/>
          <w:sz w:val="32"/>
          <w:szCs w:val="32"/>
        </w:rPr>
        <w:t>（三）积极推进成片改造。</w:t>
      </w:r>
      <w:r>
        <w:rPr>
          <w:rFonts w:ascii="Times New Roman" w:hAnsi="Times New Roman" w:eastAsia="方正仿宋_GBK" w:cs="Times New Roman"/>
          <w:spacing w:val="-4"/>
          <w:sz w:val="32"/>
          <w:szCs w:val="32"/>
        </w:rPr>
        <w:t>坚持政府统筹安排、统一规划，着力推进有条件小区的连片改造，完善</w:t>
      </w:r>
      <w:r>
        <w:rPr>
          <w:rFonts w:hint="eastAsia" w:ascii="Times New Roman" w:hAnsi="Times New Roman" w:eastAsia="方正仿宋_GBK" w:cs="Times New Roman"/>
          <w:spacing w:val="-4"/>
          <w:sz w:val="32"/>
          <w:szCs w:val="32"/>
        </w:rPr>
        <w:t>“</w:t>
      </w:r>
      <w:r>
        <w:rPr>
          <w:rFonts w:ascii="Times New Roman" w:hAnsi="Times New Roman" w:eastAsia="方正仿宋_GBK" w:cs="Times New Roman"/>
          <w:spacing w:val="-4"/>
          <w:sz w:val="32"/>
          <w:szCs w:val="32"/>
        </w:rPr>
        <w:t>生活圈</w:t>
      </w:r>
      <w:r>
        <w:rPr>
          <w:rFonts w:hint="eastAsia" w:ascii="Times New Roman" w:hAnsi="Times New Roman" w:eastAsia="方正仿宋_GBK" w:cs="Times New Roman"/>
          <w:spacing w:val="-4"/>
          <w:sz w:val="32"/>
          <w:szCs w:val="32"/>
        </w:rPr>
        <w:t>”。</w:t>
      </w:r>
      <w:r>
        <w:rPr>
          <w:rFonts w:ascii="Times New Roman" w:hAnsi="Times New Roman" w:eastAsia="方正仿宋_GBK" w:cs="Times New Roman"/>
          <w:spacing w:val="-4"/>
          <w:kern w:val="2"/>
          <w:sz w:val="32"/>
          <w:szCs w:val="32"/>
        </w:rPr>
        <w:t>鼓励拟改造老旧小区与城市建设、旧城改造、棚户区改造等项目捆绑打包，</w:t>
      </w:r>
      <w:r>
        <w:rPr>
          <w:rFonts w:ascii="Times New Roman" w:hAnsi="Times New Roman" w:eastAsia="方正仿宋_GBK" w:cs="Times New Roman"/>
          <w:spacing w:val="-4"/>
          <w:sz w:val="32"/>
          <w:szCs w:val="32"/>
        </w:rPr>
        <w:t>补齐和完善公共服务设施。将片区内有共同改造需求的独栋、零星、分散楼房进行归并整合</w:t>
      </w:r>
      <w:r>
        <w:rPr>
          <w:rFonts w:hint="eastAsia" w:ascii="Times New Roman" w:hAnsi="Times New Roman" w:eastAsia="方正仿宋_GBK" w:cs="Times New Roman"/>
          <w:spacing w:val="-4"/>
          <w:sz w:val="32"/>
          <w:szCs w:val="32"/>
        </w:rPr>
        <w:t>，</w:t>
      </w:r>
      <w:r>
        <w:rPr>
          <w:rFonts w:ascii="Times New Roman" w:hAnsi="Times New Roman" w:eastAsia="方正仿宋_GBK" w:cs="Times New Roman"/>
          <w:spacing w:val="-4"/>
          <w:sz w:val="32"/>
          <w:szCs w:val="32"/>
        </w:rPr>
        <w:t>推进相邻小区及周边地区联动改造。</w:t>
      </w:r>
      <w:r>
        <w:rPr>
          <w:rFonts w:ascii="Times New Roman" w:hAnsi="Times New Roman" w:eastAsia="方正仿宋_GBK" w:cs="Times New Roman"/>
          <w:spacing w:val="-4"/>
          <w:kern w:val="2"/>
          <w:sz w:val="32"/>
          <w:szCs w:val="32"/>
        </w:rPr>
        <w:t>连片改造应注重维护城市传统风貌特色、地域特征和传统街巷肌理，创新历史城区、历史文化街区、历史建筑、风貌建筑保护利用方式。</w:t>
      </w:r>
    </w:p>
    <w:p>
      <w:pPr>
        <w:pStyle w:val="7"/>
        <w:overflowPunct w:val="0"/>
        <w:topLinePunct/>
        <w:spacing w:line="600" w:lineRule="exact"/>
        <w:ind w:firstLine="624" w:firstLineChars="200"/>
        <w:jc w:val="both"/>
        <w:rPr>
          <w:rFonts w:ascii="Times New Roman" w:hAnsi="Times New Roman" w:eastAsia="方正仿宋_GBK" w:cs="Times New Roman"/>
          <w:spacing w:val="-4"/>
          <w:sz w:val="32"/>
          <w:szCs w:val="32"/>
        </w:rPr>
      </w:pPr>
      <w:r>
        <w:rPr>
          <w:rFonts w:ascii="Times New Roman" w:hAnsi="Times New Roman" w:eastAsia="方正楷体_GBK" w:cs="Times New Roman"/>
          <w:spacing w:val="-4"/>
          <w:sz w:val="32"/>
          <w:szCs w:val="32"/>
        </w:rPr>
        <w:t>（四）探索智慧化管理模式。</w:t>
      </w:r>
      <w:r>
        <w:rPr>
          <w:rFonts w:ascii="Times New Roman" w:hAnsi="Times New Roman" w:eastAsia="方正仿宋_GBK" w:cs="Times New Roman"/>
          <w:spacing w:val="-4"/>
          <w:sz w:val="32"/>
          <w:szCs w:val="32"/>
        </w:rPr>
        <w:t>推进智慧安防设施建设，提升老旧小区人防、技防、物防水平，通过智慧安防小区建设，运用智能人脸识别、智能门禁识别、智能车牌识别等新技术，有条件的可与公安机关联网，提升小区技防和管理效能，切实提升群众安全感。公安机关加大对智能安防设施记录信息资料的监督管理，切实保护公民隐私。通过对物联网、大数据、人工智能技术的整合应用，结合社区实际，</w:t>
      </w:r>
      <w:r>
        <w:rPr>
          <w:rFonts w:ascii="Times New Roman" w:hAnsi="Times New Roman" w:eastAsia="方正仿宋_GBK" w:cs="Times New Roman"/>
          <w:spacing w:val="-4"/>
          <w:kern w:val="2"/>
          <w:sz w:val="32"/>
          <w:szCs w:val="32"/>
        </w:rPr>
        <w:t>建设物业管理服务信息化平台，</w:t>
      </w:r>
      <w:r>
        <w:rPr>
          <w:rFonts w:ascii="Times New Roman" w:hAnsi="Times New Roman" w:eastAsia="方正仿宋_GBK" w:cs="Times New Roman"/>
          <w:spacing w:val="-4"/>
          <w:sz w:val="32"/>
          <w:szCs w:val="32"/>
        </w:rPr>
        <w:t>将公共安全、政府服务、社区居民、社区管理及物业便民等元素高效连接在一起，有效实现智慧社区服务和智慧社区安防两大板块的有机衔接。</w:t>
      </w:r>
    </w:p>
    <w:p>
      <w:pPr>
        <w:pStyle w:val="7"/>
        <w:overflowPunct w:val="0"/>
        <w:topLinePunct/>
        <w:spacing w:line="600" w:lineRule="exact"/>
        <w:ind w:firstLine="640" w:firstLineChars="200"/>
        <w:jc w:val="both"/>
        <w:rPr>
          <w:rFonts w:ascii="Times New Roman" w:hAnsi="Times New Roman" w:eastAsia="方正黑体_GBK" w:cs="Times New Roman"/>
          <w:kern w:val="2"/>
          <w:sz w:val="32"/>
          <w:szCs w:val="32"/>
        </w:rPr>
      </w:pPr>
      <w:r>
        <w:rPr>
          <w:rFonts w:ascii="Times New Roman" w:hAnsi="Times New Roman" w:eastAsia="方正黑体_GBK" w:cs="Times New Roman"/>
          <w:kern w:val="2"/>
          <w:sz w:val="32"/>
          <w:szCs w:val="32"/>
        </w:rPr>
        <w:t>三、推进机制</w:t>
      </w:r>
      <w:r>
        <w:rPr>
          <w:rFonts w:hint="eastAsia" w:ascii="Times New Roman" w:hAnsi="Times New Roman" w:eastAsia="方正黑体_GBK" w:cs="Times New Roman"/>
          <w:kern w:val="2"/>
          <w:sz w:val="32"/>
          <w:szCs w:val="32"/>
        </w:rPr>
        <w:t>建设</w:t>
      </w:r>
      <w:r>
        <w:rPr>
          <w:rFonts w:ascii="Times New Roman" w:hAnsi="Times New Roman" w:eastAsia="方正黑体_GBK" w:cs="Times New Roman"/>
          <w:kern w:val="2"/>
          <w:sz w:val="32"/>
          <w:szCs w:val="32"/>
        </w:rPr>
        <w:t>，落实主要任务</w:t>
      </w:r>
    </w:p>
    <w:p>
      <w:pPr>
        <w:pStyle w:val="7"/>
        <w:overflowPunct w:val="0"/>
        <w:topLinePunct/>
        <w:spacing w:line="600" w:lineRule="exact"/>
        <w:ind w:firstLine="640" w:firstLineChars="200"/>
        <w:jc w:val="both"/>
        <w:rPr>
          <w:rFonts w:ascii="Times New Roman" w:hAnsi="Times New Roman" w:eastAsia="方正仿宋_GBK" w:cs="Times New Roman"/>
          <w:kern w:val="2"/>
          <w:sz w:val="32"/>
          <w:szCs w:val="32"/>
        </w:rPr>
      </w:pPr>
      <w:r>
        <w:rPr>
          <w:rFonts w:ascii="Times New Roman" w:hAnsi="Times New Roman" w:eastAsia="方正楷体_GBK" w:cs="Times New Roman"/>
          <w:sz w:val="32"/>
          <w:szCs w:val="32"/>
        </w:rPr>
        <w:t>（一）建立专项改造规划的编制机制。</w:t>
      </w:r>
      <w:r>
        <w:rPr>
          <w:rFonts w:ascii="Times New Roman" w:hAnsi="Times New Roman" w:eastAsia="方正仿宋_GBK" w:cs="Times New Roman"/>
          <w:kern w:val="2"/>
          <w:sz w:val="32"/>
          <w:szCs w:val="32"/>
        </w:rPr>
        <w:t>各县区政府、</w:t>
      </w:r>
      <w:r>
        <w:rPr>
          <w:rFonts w:hint="eastAsia" w:ascii="Times New Roman" w:hAnsi="Times New Roman" w:eastAsia="方正仿宋_GBK" w:cs="Times New Roman"/>
          <w:kern w:val="2"/>
          <w:sz w:val="32"/>
          <w:szCs w:val="32"/>
        </w:rPr>
        <w:t>市管</w:t>
      </w:r>
      <w:r>
        <w:rPr>
          <w:rFonts w:ascii="Times New Roman" w:hAnsi="Times New Roman" w:eastAsia="方正仿宋_GBK" w:cs="Times New Roman"/>
          <w:kern w:val="2"/>
          <w:sz w:val="32"/>
          <w:szCs w:val="32"/>
        </w:rPr>
        <w:t>园区管委会要组织开展全面调查摸底，摸清城镇老旧小区房屋、土地及相关基础设施、权属情况、群众改造意愿、筹资能力、引入社会资本参与的可行性等基本情况，登记造册。结合摸底情况和财政承受能力，对照城市规划，梳理老旧小区周边空间资源，编制完善</w:t>
      </w:r>
      <w:r>
        <w:rPr>
          <w:rFonts w:hint="eastAsia" w:ascii="Times New Roman" w:hAnsi="Times New Roman" w:eastAsia="方正仿宋_GBK" w:cs="Times New Roman"/>
          <w:kern w:val="2"/>
          <w:sz w:val="32"/>
          <w:szCs w:val="32"/>
        </w:rPr>
        <w:t>“</w:t>
      </w:r>
      <w:r>
        <w:rPr>
          <w:rFonts w:ascii="Times New Roman" w:hAnsi="Times New Roman" w:eastAsia="方正仿宋_GBK" w:cs="Times New Roman"/>
          <w:kern w:val="2"/>
          <w:sz w:val="32"/>
          <w:szCs w:val="32"/>
        </w:rPr>
        <w:t>十四五</w:t>
      </w:r>
      <w:r>
        <w:rPr>
          <w:rFonts w:hint="eastAsia" w:ascii="Times New Roman" w:hAnsi="Times New Roman" w:eastAsia="方正仿宋_GBK" w:cs="Times New Roman"/>
          <w:kern w:val="2"/>
          <w:sz w:val="32"/>
          <w:szCs w:val="32"/>
        </w:rPr>
        <w:t>”</w:t>
      </w:r>
      <w:r>
        <w:rPr>
          <w:rFonts w:ascii="Times New Roman" w:hAnsi="Times New Roman" w:eastAsia="方正仿宋_GBK" w:cs="Times New Roman"/>
          <w:kern w:val="2"/>
          <w:sz w:val="32"/>
          <w:szCs w:val="32"/>
        </w:rPr>
        <w:t>城镇老旧小区改造规划，统筹安排城镇老旧小区的改造时序、内容。各县区、</w:t>
      </w:r>
      <w:r>
        <w:rPr>
          <w:rFonts w:hint="eastAsia" w:ascii="Times New Roman" w:hAnsi="Times New Roman" w:eastAsia="方正仿宋_GBK" w:cs="Times New Roman"/>
          <w:kern w:val="2"/>
          <w:sz w:val="32"/>
          <w:szCs w:val="32"/>
        </w:rPr>
        <w:t>市管</w:t>
      </w:r>
      <w:r>
        <w:rPr>
          <w:rFonts w:ascii="Times New Roman" w:hAnsi="Times New Roman" w:eastAsia="方正仿宋_GBK" w:cs="Times New Roman"/>
          <w:kern w:val="2"/>
          <w:sz w:val="32"/>
          <w:szCs w:val="32"/>
        </w:rPr>
        <w:t>园区住房城乡建设部门会同发展改革、财政部门，根据老旧小区改造规划建立项目库和分年度实施计划，</w:t>
      </w:r>
      <w:r>
        <w:rPr>
          <w:rFonts w:hint="eastAsia" w:ascii="Times New Roman" w:hAnsi="Times New Roman" w:eastAsia="方正仿宋_GBK" w:cs="Times New Roman"/>
          <w:kern w:val="2"/>
          <w:sz w:val="32"/>
          <w:szCs w:val="32"/>
        </w:rPr>
        <w:t>并</w:t>
      </w:r>
      <w:r>
        <w:rPr>
          <w:rFonts w:ascii="Times New Roman" w:hAnsi="Times New Roman" w:eastAsia="方正仿宋_GBK" w:cs="Times New Roman"/>
          <w:kern w:val="2"/>
          <w:sz w:val="32"/>
          <w:szCs w:val="32"/>
        </w:rPr>
        <w:t>可根据实施情况及时对项目库和实施计划进行动态调整。各县区、</w:t>
      </w:r>
      <w:r>
        <w:rPr>
          <w:rFonts w:hint="eastAsia" w:ascii="Times New Roman" w:hAnsi="Times New Roman" w:eastAsia="方正仿宋_GBK" w:cs="Times New Roman"/>
          <w:kern w:val="2"/>
          <w:sz w:val="32"/>
          <w:szCs w:val="32"/>
        </w:rPr>
        <w:t>市管</w:t>
      </w:r>
      <w:r>
        <w:rPr>
          <w:rFonts w:ascii="Times New Roman" w:hAnsi="Times New Roman" w:eastAsia="方正仿宋_GBK" w:cs="Times New Roman"/>
          <w:kern w:val="2"/>
          <w:sz w:val="32"/>
          <w:szCs w:val="32"/>
        </w:rPr>
        <w:t>园区应于每年6月上旬，上报下一年度改造计划、实施项目（含改造内容清单）。</w:t>
      </w:r>
    </w:p>
    <w:p>
      <w:pPr>
        <w:pStyle w:val="7"/>
        <w:overflowPunct w:val="0"/>
        <w:topLinePunct/>
        <w:spacing w:line="600" w:lineRule="exact"/>
        <w:ind w:firstLine="640" w:firstLineChars="200"/>
        <w:jc w:val="both"/>
        <w:rPr>
          <w:rFonts w:ascii="Times New Roman" w:hAnsi="Times New Roman" w:eastAsia="方正仿宋_GBK" w:cs="Times New Roman"/>
          <w:kern w:val="2"/>
          <w:sz w:val="32"/>
          <w:szCs w:val="32"/>
        </w:rPr>
      </w:pPr>
      <w:r>
        <w:rPr>
          <w:rFonts w:ascii="Times New Roman" w:hAnsi="Times New Roman" w:eastAsia="方正楷体_GBK" w:cs="Times New Roman"/>
          <w:sz w:val="32"/>
          <w:szCs w:val="32"/>
        </w:rPr>
        <w:t>（二）协同</w:t>
      </w:r>
      <w:r>
        <w:rPr>
          <w:rFonts w:hint="eastAsia" w:ascii="Times New Roman" w:hAnsi="Times New Roman" w:eastAsia="方正楷体_GBK" w:cs="Times New Roman"/>
          <w:sz w:val="32"/>
          <w:szCs w:val="32"/>
        </w:rPr>
        <w:t>制定改造方案</w:t>
      </w:r>
      <w:r>
        <w:rPr>
          <w:rFonts w:ascii="Times New Roman" w:hAnsi="Times New Roman" w:eastAsia="方正楷体_GBK" w:cs="Times New Roman"/>
          <w:sz w:val="32"/>
          <w:szCs w:val="32"/>
        </w:rPr>
        <w:t>。</w:t>
      </w:r>
      <w:r>
        <w:rPr>
          <w:rFonts w:ascii="Times New Roman" w:hAnsi="Times New Roman" w:eastAsia="方正仿宋_GBK" w:cs="Times New Roman"/>
          <w:kern w:val="2"/>
          <w:sz w:val="32"/>
          <w:szCs w:val="32"/>
        </w:rPr>
        <w:t>各县区政府、</w:t>
      </w:r>
      <w:r>
        <w:rPr>
          <w:rFonts w:hint="eastAsia" w:ascii="Times New Roman" w:hAnsi="Times New Roman" w:eastAsia="方正仿宋_GBK" w:cs="Times New Roman"/>
          <w:kern w:val="2"/>
          <w:sz w:val="32"/>
          <w:szCs w:val="32"/>
        </w:rPr>
        <w:t>市管</w:t>
      </w:r>
      <w:r>
        <w:rPr>
          <w:rFonts w:ascii="Times New Roman" w:hAnsi="Times New Roman" w:eastAsia="方正仿宋_GBK" w:cs="Times New Roman"/>
          <w:kern w:val="2"/>
          <w:sz w:val="32"/>
          <w:szCs w:val="32"/>
        </w:rPr>
        <w:t>园区管委会搭建沟通议事平台，开展由基层党组织引领的形式多样、组织有序、实施规范的基层协商。由街道（乡镇）牵头，充分了解居民需求，在改造内容、方式等方面协商达成共识，优先考虑居民改造意愿强、参与积极性高的小区，制定初步改造方案。发动群众共谋共建共管共评，先完成拆除违法建设、治理开墙打洞等事项后再启动实施改造。社区党组织、居委会组织业主委员会等征求居民意愿，引导居民参与改造，并在改造完成后协商决定小区管理模式。</w:t>
      </w:r>
    </w:p>
    <w:p>
      <w:pPr>
        <w:pStyle w:val="7"/>
        <w:overflowPunct w:val="0"/>
        <w:topLinePunct/>
        <w:spacing w:line="600" w:lineRule="exact"/>
        <w:ind w:firstLine="640" w:firstLineChars="200"/>
        <w:jc w:val="both"/>
        <w:rPr>
          <w:rFonts w:ascii="Times New Roman" w:hAnsi="Times New Roman" w:eastAsia="方正仿宋_GBK" w:cs="Times New Roman"/>
          <w:sz w:val="32"/>
          <w:szCs w:val="32"/>
        </w:rPr>
      </w:pPr>
      <w:r>
        <w:rPr>
          <w:rFonts w:ascii="Times New Roman" w:hAnsi="Times New Roman" w:eastAsia="方正楷体_GBK" w:cs="Times New Roman"/>
          <w:sz w:val="32"/>
          <w:szCs w:val="32"/>
        </w:rPr>
        <w:t>（三）</w:t>
      </w:r>
      <w:r>
        <w:rPr>
          <w:rFonts w:hint="eastAsia" w:ascii="Times New Roman" w:hAnsi="Times New Roman" w:eastAsia="方正楷体_GBK" w:cs="Times New Roman"/>
          <w:sz w:val="32"/>
          <w:szCs w:val="32"/>
        </w:rPr>
        <w:t>明确</w:t>
      </w:r>
      <w:r>
        <w:rPr>
          <w:rFonts w:ascii="Times New Roman" w:hAnsi="Times New Roman" w:eastAsia="方正楷体_GBK" w:cs="Times New Roman"/>
          <w:sz w:val="32"/>
          <w:szCs w:val="32"/>
        </w:rPr>
        <w:t>改造实施</w:t>
      </w:r>
      <w:r>
        <w:rPr>
          <w:rFonts w:hint="eastAsia" w:ascii="Times New Roman" w:hAnsi="Times New Roman" w:eastAsia="方正楷体_GBK" w:cs="Times New Roman"/>
          <w:sz w:val="32"/>
          <w:szCs w:val="32"/>
        </w:rPr>
        <w:t>（投资）</w:t>
      </w:r>
      <w:r>
        <w:rPr>
          <w:rFonts w:ascii="Times New Roman" w:hAnsi="Times New Roman" w:eastAsia="方正楷体_GBK" w:cs="Times New Roman"/>
          <w:sz w:val="32"/>
          <w:szCs w:val="32"/>
        </w:rPr>
        <w:t>主体。</w:t>
      </w:r>
      <w:r>
        <w:rPr>
          <w:rFonts w:ascii="Times New Roman" w:hAnsi="Times New Roman" w:eastAsia="方正仿宋_GBK" w:cs="Times New Roman"/>
          <w:kern w:val="2"/>
          <w:sz w:val="32"/>
          <w:szCs w:val="32"/>
        </w:rPr>
        <w:t>各县区政府、</w:t>
      </w:r>
      <w:r>
        <w:rPr>
          <w:rFonts w:hint="eastAsia" w:ascii="Times New Roman" w:hAnsi="Times New Roman" w:eastAsia="方正仿宋_GBK" w:cs="Times New Roman"/>
          <w:kern w:val="2"/>
          <w:sz w:val="32"/>
          <w:szCs w:val="32"/>
        </w:rPr>
        <w:t>市管</w:t>
      </w:r>
      <w:r>
        <w:rPr>
          <w:rFonts w:ascii="Times New Roman" w:hAnsi="Times New Roman" w:eastAsia="方正仿宋_GBK" w:cs="Times New Roman"/>
          <w:kern w:val="2"/>
          <w:sz w:val="32"/>
          <w:szCs w:val="32"/>
        </w:rPr>
        <w:t>园区管委会要统筹考虑实施小区改造及改造后设施运营、后期管理等因素，明确改造项目实施（投资）主体，将老旧小区改造与智慧城市、未来社区建设相结合，鼓励房地产企业参与老旧房屋改造、交通出行改善、智慧设施升级、公共服务提升等项目。鼓励国有</w:t>
      </w:r>
      <w:r>
        <w:rPr>
          <w:rFonts w:ascii="Times New Roman" w:hAnsi="Times New Roman" w:eastAsia="方正仿宋_GBK" w:cs="Times New Roman"/>
          <w:spacing w:val="-4"/>
          <w:kern w:val="2"/>
          <w:sz w:val="32"/>
          <w:szCs w:val="32"/>
        </w:rPr>
        <w:t>实施（投资）主体将财政投入资金作为老旧小区改造资本金，依托改造区域内相关公共服务资源，搭建投融资平台，提升改造水平。</w:t>
      </w:r>
    </w:p>
    <w:p>
      <w:pPr>
        <w:pStyle w:val="7"/>
        <w:overflowPunct w:val="0"/>
        <w:topLinePunct/>
        <w:spacing w:line="600" w:lineRule="exact"/>
        <w:ind w:firstLine="640" w:firstLineChars="200"/>
        <w:jc w:val="both"/>
        <w:rPr>
          <w:rFonts w:ascii="Times New Roman" w:hAnsi="Times New Roman" w:eastAsia="方正仿宋_GBK" w:cs="Times New Roman"/>
          <w:kern w:val="2"/>
          <w:sz w:val="32"/>
          <w:szCs w:val="32"/>
        </w:rPr>
      </w:pPr>
      <w:r>
        <w:rPr>
          <w:rFonts w:ascii="Times New Roman" w:hAnsi="Times New Roman" w:eastAsia="方正楷体_GBK" w:cs="Times New Roman"/>
          <w:sz w:val="32"/>
          <w:szCs w:val="32"/>
        </w:rPr>
        <w:t>（四）建立资金供给的</w:t>
      </w:r>
      <w:r>
        <w:rPr>
          <w:rFonts w:ascii="Times New Roman" w:hAnsi="Times New Roman" w:eastAsia="方正楷体_GBK" w:cs="Times New Roman"/>
          <w:color w:val="auto"/>
          <w:kern w:val="2"/>
          <w:sz w:val="32"/>
          <w:szCs w:val="32"/>
        </w:rPr>
        <w:t>保障机制</w:t>
      </w:r>
      <w:r>
        <w:rPr>
          <w:rFonts w:ascii="Times New Roman" w:hAnsi="Times New Roman" w:eastAsia="方正楷体_GBK" w:cs="Times New Roman"/>
          <w:sz w:val="32"/>
          <w:szCs w:val="32"/>
        </w:rPr>
        <w:t>。</w:t>
      </w:r>
      <w:r>
        <w:rPr>
          <w:rFonts w:ascii="Times New Roman" w:hAnsi="Times New Roman" w:eastAsia="方正仿宋_GBK" w:cs="Times New Roman"/>
          <w:kern w:val="2"/>
          <w:sz w:val="32"/>
          <w:szCs w:val="32"/>
        </w:rPr>
        <w:t>加大政府支持力度，积极争取中央财政及省级补助资金，市、县区人民政府</w:t>
      </w:r>
      <w:r>
        <w:rPr>
          <w:rFonts w:hint="eastAsia" w:ascii="Times New Roman" w:hAnsi="Times New Roman" w:eastAsia="方正仿宋_GBK" w:cs="Times New Roman"/>
          <w:kern w:val="2"/>
          <w:sz w:val="32"/>
          <w:szCs w:val="32"/>
        </w:rPr>
        <w:t>（</w:t>
      </w:r>
      <w:r>
        <w:rPr>
          <w:rFonts w:ascii="Times New Roman" w:hAnsi="Times New Roman" w:eastAsia="方正仿宋_GBK" w:cs="Times New Roman"/>
          <w:kern w:val="2"/>
          <w:sz w:val="32"/>
          <w:szCs w:val="32"/>
        </w:rPr>
        <w:t>市管园区管委会</w:t>
      </w:r>
      <w:r>
        <w:rPr>
          <w:rFonts w:hint="eastAsia" w:ascii="Times New Roman" w:hAnsi="Times New Roman" w:eastAsia="方正仿宋_GBK" w:cs="Times New Roman"/>
          <w:kern w:val="2"/>
          <w:sz w:val="32"/>
          <w:szCs w:val="32"/>
        </w:rPr>
        <w:t>）</w:t>
      </w:r>
      <w:r>
        <w:rPr>
          <w:rFonts w:ascii="Times New Roman" w:hAnsi="Times New Roman" w:eastAsia="方正仿宋_GBK" w:cs="Times New Roman"/>
          <w:kern w:val="2"/>
          <w:sz w:val="32"/>
          <w:szCs w:val="32"/>
        </w:rPr>
        <w:t>对改造项目给予资金支持。国有住房出售收入存量资金可用于老旧小区改造，支持市、县区（</w:t>
      </w:r>
      <w:r>
        <w:rPr>
          <w:rFonts w:hint="eastAsia" w:ascii="Times New Roman" w:hAnsi="Times New Roman" w:eastAsia="方正仿宋_GBK" w:cs="Times New Roman"/>
          <w:kern w:val="2"/>
          <w:sz w:val="32"/>
          <w:szCs w:val="32"/>
        </w:rPr>
        <w:t>市管</w:t>
      </w:r>
      <w:r>
        <w:rPr>
          <w:rFonts w:ascii="Times New Roman" w:hAnsi="Times New Roman" w:eastAsia="方正仿宋_GBK" w:cs="Times New Roman"/>
          <w:kern w:val="2"/>
          <w:sz w:val="32"/>
          <w:szCs w:val="32"/>
        </w:rPr>
        <w:t>园区）通过发行地方政府专项债券筹集改造资金。引导居民出资或通过住宅专项维修资金、小区公共收益、捐资捐物等渠道筹措资金改造。鼓励居民个人以捐资、捐物、投劳等形式参与城镇老旧小区改造。结合改造促进住户户内改造、装饰装修、家电更新等消费。鼓励社会资金参与社区养老、托育、助餐等公共服务设施建设改造和运营。鼓励原产权单位出资参与改造。鼓励金融部门对实施城镇老旧小区改造的企业和项目依法合规提供金融产品和服务。积极探索通过政府采购、新增设施有偿使用等方式，引导社会资本、民营企业参与城镇老旧小区改造提质。</w:t>
      </w:r>
    </w:p>
    <w:p>
      <w:pPr>
        <w:pStyle w:val="7"/>
        <w:overflowPunct w:val="0"/>
        <w:topLinePunct/>
        <w:spacing w:line="600" w:lineRule="exact"/>
        <w:ind w:firstLine="640" w:firstLineChars="200"/>
        <w:jc w:val="both"/>
        <w:rPr>
          <w:rFonts w:ascii="Times New Roman" w:hAnsi="Times New Roman" w:eastAsia="方正仿宋_GBK" w:cs="Times New Roman"/>
          <w:kern w:val="2"/>
          <w:sz w:val="32"/>
          <w:szCs w:val="32"/>
        </w:rPr>
      </w:pPr>
      <w:r>
        <w:rPr>
          <w:rFonts w:ascii="Times New Roman" w:hAnsi="Times New Roman" w:eastAsia="方正楷体_GBK" w:cs="Times New Roman"/>
          <w:sz w:val="32"/>
          <w:szCs w:val="32"/>
        </w:rPr>
        <w:t>（五）</w:t>
      </w:r>
      <w:r>
        <w:rPr>
          <w:rFonts w:ascii="Times New Roman" w:hAnsi="Times New Roman" w:eastAsia="方正楷体_GBK" w:cs="Times New Roman"/>
          <w:color w:val="auto"/>
          <w:kern w:val="2"/>
          <w:sz w:val="32"/>
          <w:szCs w:val="32"/>
        </w:rPr>
        <w:t>建立专营设施一体设计改造的配套机制。</w:t>
      </w:r>
      <w:r>
        <w:rPr>
          <w:rFonts w:ascii="Times New Roman" w:hAnsi="Times New Roman" w:eastAsia="方正仿宋_GBK" w:cs="Times New Roman"/>
          <w:kern w:val="2"/>
          <w:sz w:val="32"/>
          <w:szCs w:val="32"/>
        </w:rPr>
        <w:t>老旧小区内入户端口以外需要改造的供水、供电、供气、供暖、通信、有线电视等专业经营设施，产权属于专营单位的，专营单位应当出资改造，与老旧小区改造同步实施。改造后，专营设施产权移交给专营单位，并由专营单位负责维护管理。专营单位的改造计划，应与县区、</w:t>
      </w:r>
      <w:r>
        <w:rPr>
          <w:rFonts w:hint="eastAsia" w:ascii="Times New Roman" w:hAnsi="Times New Roman" w:eastAsia="方正仿宋_GBK" w:cs="Times New Roman"/>
          <w:kern w:val="2"/>
          <w:sz w:val="32"/>
          <w:szCs w:val="32"/>
        </w:rPr>
        <w:t>市管</w:t>
      </w:r>
      <w:r>
        <w:rPr>
          <w:rFonts w:ascii="Times New Roman" w:hAnsi="Times New Roman" w:eastAsia="方正仿宋_GBK" w:cs="Times New Roman"/>
          <w:kern w:val="2"/>
          <w:sz w:val="32"/>
          <w:szCs w:val="32"/>
        </w:rPr>
        <w:t>园区老旧小区改造规划有效对接，协同推进。在实施过程中，相关单位不得收取进场费等额外费用。通信运营企业在实施改造时严格按照技术规范要求，实行共建共享。</w:t>
      </w:r>
    </w:p>
    <w:p>
      <w:pPr>
        <w:pStyle w:val="4"/>
        <w:shd w:val="clear" w:color="auto" w:fill="FFFFFF"/>
        <w:overflowPunct w:val="0"/>
        <w:topLinePunct/>
        <w:adjustRightInd w:val="0"/>
        <w:spacing w:before="0" w:beforeAutospacing="0" w:after="0" w:afterAutospacing="0" w:line="600" w:lineRule="exact"/>
        <w:ind w:firstLine="640" w:firstLineChars="200"/>
        <w:jc w:val="both"/>
        <w:rPr>
          <w:rFonts w:eastAsia="方正仿宋_GBK"/>
          <w:kern w:val="2"/>
          <w:sz w:val="32"/>
          <w:szCs w:val="32"/>
        </w:rPr>
      </w:pPr>
      <w:r>
        <w:rPr>
          <w:rFonts w:eastAsia="方正楷体_GBK"/>
          <w:kern w:val="2"/>
          <w:sz w:val="32"/>
          <w:szCs w:val="32"/>
        </w:rPr>
        <w:t>（六）建立物业专项维修资金筹措的政策机制。</w:t>
      </w:r>
      <w:r>
        <w:rPr>
          <w:rFonts w:eastAsia="方正仿宋_GBK"/>
          <w:kern w:val="2"/>
          <w:sz w:val="32"/>
          <w:szCs w:val="32"/>
        </w:rPr>
        <w:t>根据修订后的《安徽省物业专项维修资金管理暂行办法》，开展维修资金的补建、续筹工作。未设立专项维修资金的老旧小区，应在改造方案中明确筹集专项维修资金的措施。有条件的县区、</w:t>
      </w:r>
      <w:r>
        <w:rPr>
          <w:rFonts w:hint="eastAsia" w:eastAsia="方正仿宋_GBK"/>
          <w:kern w:val="2"/>
          <w:sz w:val="32"/>
          <w:szCs w:val="32"/>
        </w:rPr>
        <w:t>市管</w:t>
      </w:r>
      <w:r>
        <w:rPr>
          <w:rFonts w:eastAsia="方正仿宋_GBK"/>
          <w:kern w:val="2"/>
          <w:sz w:val="32"/>
          <w:szCs w:val="32"/>
        </w:rPr>
        <w:t>园区可推行专项维修资金</w:t>
      </w:r>
      <w:r>
        <w:rPr>
          <w:rFonts w:hint="eastAsia" w:eastAsia="方正仿宋_GBK"/>
          <w:kern w:val="2"/>
          <w:sz w:val="32"/>
          <w:szCs w:val="32"/>
        </w:rPr>
        <w:t>“</w:t>
      </w:r>
      <w:r>
        <w:rPr>
          <w:rFonts w:eastAsia="方正仿宋_GBK"/>
          <w:kern w:val="2"/>
          <w:sz w:val="32"/>
          <w:szCs w:val="32"/>
        </w:rPr>
        <w:t>即交即用即补</w:t>
      </w:r>
      <w:r>
        <w:rPr>
          <w:rFonts w:hint="eastAsia" w:eastAsia="方正仿宋_GBK"/>
          <w:kern w:val="2"/>
          <w:sz w:val="32"/>
          <w:szCs w:val="32"/>
        </w:rPr>
        <w:t>”</w:t>
      </w:r>
      <w:r>
        <w:rPr>
          <w:rFonts w:eastAsia="方正仿宋_GBK"/>
          <w:kern w:val="2"/>
          <w:sz w:val="32"/>
          <w:szCs w:val="32"/>
        </w:rPr>
        <w:t>机制，优化老旧小区改造过程中维修资金使用审批流程。</w:t>
      </w:r>
    </w:p>
    <w:p>
      <w:pPr>
        <w:pStyle w:val="4"/>
        <w:shd w:val="clear" w:color="auto" w:fill="FFFFFF"/>
        <w:overflowPunct w:val="0"/>
        <w:topLinePunct/>
        <w:adjustRightInd w:val="0"/>
        <w:spacing w:before="0" w:beforeAutospacing="0" w:after="0" w:afterAutospacing="0" w:line="600" w:lineRule="exact"/>
        <w:ind w:firstLine="640" w:firstLineChars="200"/>
        <w:jc w:val="both"/>
        <w:rPr>
          <w:rFonts w:eastAsia="方正仿宋_GBK"/>
          <w:color w:val="000000"/>
          <w:kern w:val="2"/>
          <w:sz w:val="32"/>
          <w:szCs w:val="32"/>
        </w:rPr>
      </w:pPr>
      <w:r>
        <w:rPr>
          <w:rFonts w:eastAsia="方正楷体_GBK"/>
          <w:kern w:val="2"/>
          <w:sz w:val="32"/>
          <w:szCs w:val="32"/>
        </w:rPr>
        <w:t>（七）建立项目规划建设的监管机制。</w:t>
      </w:r>
      <w:r>
        <w:rPr>
          <w:rFonts w:eastAsia="方正仿宋_GBK"/>
          <w:color w:val="000000"/>
          <w:kern w:val="2"/>
          <w:sz w:val="32"/>
          <w:szCs w:val="32"/>
        </w:rPr>
        <w:t>按照</w:t>
      </w:r>
      <w:r>
        <w:rPr>
          <w:rFonts w:hint="eastAsia" w:eastAsia="方正仿宋_GBK"/>
          <w:color w:val="000000"/>
          <w:kern w:val="2"/>
          <w:sz w:val="32"/>
          <w:szCs w:val="32"/>
        </w:rPr>
        <w:t>“</w:t>
      </w:r>
      <w:r>
        <w:rPr>
          <w:rFonts w:eastAsia="方正仿宋_GBK"/>
          <w:color w:val="000000"/>
          <w:kern w:val="2"/>
          <w:sz w:val="32"/>
          <w:szCs w:val="32"/>
        </w:rPr>
        <w:t>谁建设、谁负责</w:t>
      </w:r>
      <w:r>
        <w:rPr>
          <w:rFonts w:hint="eastAsia" w:eastAsia="方正仿宋_GBK"/>
          <w:color w:val="000000"/>
          <w:kern w:val="2"/>
          <w:sz w:val="32"/>
          <w:szCs w:val="32"/>
        </w:rPr>
        <w:t>”“</w:t>
      </w:r>
      <w:r>
        <w:rPr>
          <w:rFonts w:eastAsia="方正仿宋_GBK"/>
          <w:color w:val="000000"/>
          <w:kern w:val="2"/>
          <w:sz w:val="32"/>
          <w:szCs w:val="32"/>
        </w:rPr>
        <w:t>谁服务、谁负责</w:t>
      </w:r>
      <w:r>
        <w:rPr>
          <w:rFonts w:hint="eastAsia" w:eastAsia="方正仿宋_GBK"/>
          <w:color w:val="000000"/>
          <w:kern w:val="2"/>
          <w:sz w:val="32"/>
          <w:szCs w:val="32"/>
        </w:rPr>
        <w:t>”</w:t>
      </w:r>
      <w:r>
        <w:rPr>
          <w:rFonts w:eastAsia="方正仿宋_GBK"/>
          <w:color w:val="000000"/>
          <w:kern w:val="2"/>
          <w:sz w:val="32"/>
          <w:szCs w:val="32"/>
        </w:rPr>
        <w:t>的原则，落实勘察、设计、施工、监理等项目改造建设各方主体责任，以及单位负责人、项目负责人和有关专业技术人员的终身责任。住房城乡建设部门要建立适合城镇老旧小区改造的质量安全监管机制及相关配套制度，实现过程可监督、责任可追溯、绩效可量化、群众满意度可感知。将老旧小区改造各类审批事项纳入工程建设项目审批管理系统监管范围，组织各有关部门和管线产权单位等对老旧小区改造具体方案进行联合审查，优化项目立项、用地、规划审批程序，简化施工许可证办理手续，提升项目审批效率。加强项目质量管理，提高改造质量。</w:t>
      </w:r>
    </w:p>
    <w:p>
      <w:pPr>
        <w:pStyle w:val="4"/>
        <w:shd w:val="clear" w:color="auto" w:fill="FFFFFF"/>
        <w:overflowPunct w:val="0"/>
        <w:topLinePunct/>
        <w:adjustRightInd w:val="0"/>
        <w:spacing w:before="0" w:beforeAutospacing="0" w:after="0" w:afterAutospacing="0" w:line="600" w:lineRule="exact"/>
        <w:ind w:firstLine="640" w:firstLineChars="200"/>
        <w:jc w:val="both"/>
        <w:rPr>
          <w:rFonts w:eastAsia="方正仿宋_GBK"/>
          <w:color w:val="000000"/>
          <w:kern w:val="2"/>
          <w:sz w:val="32"/>
          <w:szCs w:val="32"/>
        </w:rPr>
      </w:pPr>
      <w:r>
        <w:rPr>
          <w:rFonts w:eastAsia="方正楷体_GBK"/>
          <w:kern w:val="2"/>
          <w:sz w:val="32"/>
          <w:szCs w:val="32"/>
        </w:rPr>
        <w:t>（八）建立危险房屋整治排查的长效机制。</w:t>
      </w:r>
      <w:r>
        <w:rPr>
          <w:rFonts w:eastAsia="方正仿宋_GBK"/>
          <w:color w:val="000000"/>
          <w:kern w:val="2"/>
          <w:sz w:val="32"/>
          <w:szCs w:val="32"/>
        </w:rPr>
        <w:t>结合老旧小区改造工作，对拟改造房屋开展房屋安全隐患排查工作。房屋所有人对经鉴定的危险房屋，必须按照鉴定机构的处理建议，及时加固</w:t>
      </w:r>
      <w:r>
        <w:rPr>
          <w:rFonts w:eastAsia="方正仿宋_GBK"/>
          <w:color w:val="000000"/>
          <w:spacing w:val="-4"/>
          <w:kern w:val="2"/>
          <w:sz w:val="32"/>
          <w:szCs w:val="32"/>
        </w:rPr>
        <w:t>或修缮处理。鉴定为D级的危房，需要通过棚户区改造方式消除安全隐患的，按照城市棚户区改造政策，优先纳入棚户区改造计划；</w:t>
      </w:r>
      <w:r>
        <w:rPr>
          <w:rFonts w:eastAsia="方正仿宋_GBK"/>
          <w:color w:val="000000"/>
          <w:kern w:val="2"/>
          <w:sz w:val="32"/>
          <w:szCs w:val="32"/>
        </w:rPr>
        <w:t>对未纳入棚户区改造计划的，由当地政府组织实施危旧房改造。</w:t>
      </w:r>
    </w:p>
    <w:p>
      <w:pPr>
        <w:pStyle w:val="4"/>
        <w:shd w:val="clear" w:color="auto" w:fill="FFFFFF"/>
        <w:overflowPunct w:val="0"/>
        <w:topLinePunct/>
        <w:adjustRightInd w:val="0"/>
        <w:spacing w:before="0" w:beforeAutospacing="0" w:after="0" w:afterAutospacing="0" w:line="600" w:lineRule="exact"/>
        <w:ind w:firstLine="640" w:firstLineChars="200"/>
        <w:jc w:val="both"/>
        <w:rPr>
          <w:rFonts w:eastAsia="方正仿宋_GBK"/>
          <w:color w:val="333333"/>
          <w:sz w:val="21"/>
          <w:szCs w:val="21"/>
        </w:rPr>
      </w:pPr>
      <w:r>
        <w:rPr>
          <w:rFonts w:eastAsia="方正楷体_GBK"/>
          <w:kern w:val="2"/>
          <w:sz w:val="32"/>
          <w:szCs w:val="32"/>
        </w:rPr>
        <w:t>（九）建立改造与管养并举的治理机制。</w:t>
      </w:r>
      <w:r>
        <w:rPr>
          <w:rFonts w:eastAsia="方正仿宋_GBK"/>
          <w:color w:val="000000"/>
          <w:kern w:val="2"/>
          <w:sz w:val="32"/>
          <w:szCs w:val="32"/>
        </w:rPr>
        <w:t>建立健全街道（乡镇）、社区党组织领导下的社区居委会、业主委员会、物业服务企业多方议事协调工作机制，推动建立老旧小区后续长效维护及日常管理工作机制，巩固提升改造成果。老旧小区改造后，有条件的小区应在街道（乡镇）、社区组织协调指导下，由业主及时依法选聘物业服务企业，对照物业服务标准，明确服务内容和收费标准；暂不具备条件的小区，由街道（乡镇）办事处牵头征求业主意见，可通过托管、社会组织代管、居民自管等方式进行管理。鼓励以县区（</w:t>
      </w:r>
      <w:r>
        <w:rPr>
          <w:rFonts w:hint="eastAsia" w:eastAsia="方正仿宋_GBK"/>
          <w:kern w:val="2"/>
          <w:sz w:val="32"/>
          <w:szCs w:val="32"/>
        </w:rPr>
        <w:t>市管</w:t>
      </w:r>
      <w:r>
        <w:rPr>
          <w:rFonts w:eastAsia="方正仿宋_GBK"/>
          <w:color w:val="000000"/>
          <w:kern w:val="2"/>
          <w:sz w:val="32"/>
          <w:szCs w:val="32"/>
        </w:rPr>
        <w:t>园区）或街道为单位，成立或明确国有物业企业进行托底有偿服务，借鉴推广埇桥区</w:t>
      </w:r>
      <w:r>
        <w:rPr>
          <w:rFonts w:hint="eastAsia" w:eastAsia="方正仿宋_GBK"/>
          <w:color w:val="000000"/>
          <w:kern w:val="2"/>
          <w:sz w:val="32"/>
          <w:szCs w:val="32"/>
        </w:rPr>
        <w:t>“</w:t>
      </w:r>
      <w:r>
        <w:rPr>
          <w:rFonts w:eastAsia="方正仿宋_GBK"/>
          <w:color w:val="000000"/>
          <w:kern w:val="2"/>
          <w:sz w:val="32"/>
          <w:szCs w:val="32"/>
        </w:rPr>
        <w:t>红色物业</w:t>
      </w:r>
      <w:r>
        <w:rPr>
          <w:rFonts w:hint="eastAsia" w:eastAsia="方正仿宋_GBK"/>
          <w:color w:val="000000"/>
          <w:kern w:val="2"/>
          <w:sz w:val="32"/>
          <w:szCs w:val="32"/>
        </w:rPr>
        <w:t>”</w:t>
      </w:r>
      <w:r>
        <w:rPr>
          <w:rFonts w:eastAsia="方正仿宋_GBK"/>
          <w:color w:val="000000"/>
          <w:kern w:val="2"/>
          <w:sz w:val="32"/>
          <w:szCs w:val="32"/>
        </w:rPr>
        <w:t>管理模式，政府直接投资或参股成立红色物业公司，为老旧小区市场化物业服务提供托底保障，确保改造后的老旧小区实现物业服务全覆盖，维护改造成果。</w:t>
      </w:r>
    </w:p>
    <w:p>
      <w:pPr>
        <w:pStyle w:val="7"/>
        <w:overflowPunct w:val="0"/>
        <w:topLinePunct/>
        <w:spacing w:line="600" w:lineRule="exact"/>
        <w:ind w:firstLine="640" w:firstLineChars="200"/>
        <w:jc w:val="both"/>
        <w:rPr>
          <w:rFonts w:ascii="Times New Roman" w:hAnsi="Times New Roman" w:eastAsia="方正黑体_GBK" w:cs="Times New Roman"/>
          <w:color w:val="auto"/>
          <w:kern w:val="2"/>
          <w:sz w:val="32"/>
          <w:szCs w:val="32"/>
        </w:rPr>
      </w:pPr>
      <w:r>
        <w:rPr>
          <w:rFonts w:ascii="Times New Roman" w:hAnsi="Times New Roman" w:eastAsia="方正黑体_GBK" w:cs="Times New Roman"/>
          <w:color w:val="auto"/>
          <w:kern w:val="2"/>
          <w:sz w:val="32"/>
          <w:szCs w:val="32"/>
        </w:rPr>
        <w:t>四、强化政策支持，夯实保障措施</w:t>
      </w:r>
    </w:p>
    <w:p>
      <w:pPr>
        <w:pStyle w:val="7"/>
        <w:overflowPunct w:val="0"/>
        <w:topLinePunct/>
        <w:spacing w:line="600" w:lineRule="exact"/>
        <w:ind w:firstLine="640" w:firstLineChars="200"/>
        <w:jc w:val="both"/>
        <w:rPr>
          <w:rFonts w:hint="eastAsia" w:ascii="Times New Roman" w:hAnsi="Times New Roman" w:eastAsia="方正仿宋_GBK" w:cs="Times New Roman"/>
          <w:kern w:val="2"/>
          <w:sz w:val="32"/>
          <w:szCs w:val="32"/>
        </w:rPr>
      </w:pPr>
      <w:r>
        <w:rPr>
          <w:rFonts w:ascii="Times New Roman" w:hAnsi="Times New Roman" w:eastAsia="方正楷体_GBK" w:cs="Times New Roman"/>
          <w:color w:val="auto"/>
          <w:kern w:val="2"/>
          <w:sz w:val="32"/>
          <w:szCs w:val="32"/>
        </w:rPr>
        <w:t>（一）</w:t>
      </w:r>
      <w:r>
        <w:rPr>
          <w:rFonts w:hint="eastAsia" w:ascii="Times New Roman" w:hAnsi="Times New Roman" w:eastAsia="方正楷体_GBK" w:cs="Times New Roman"/>
          <w:color w:val="auto"/>
          <w:kern w:val="2"/>
          <w:sz w:val="32"/>
          <w:szCs w:val="32"/>
        </w:rPr>
        <w:t>坚持统筹规划。</w:t>
      </w:r>
      <w:r>
        <w:rPr>
          <w:rFonts w:ascii="Times New Roman" w:hAnsi="Times New Roman" w:eastAsia="方正仿宋_GBK" w:cs="Times New Roman"/>
          <w:kern w:val="2"/>
          <w:sz w:val="32"/>
          <w:szCs w:val="32"/>
        </w:rPr>
        <w:t>各县区、</w:t>
      </w:r>
      <w:r>
        <w:rPr>
          <w:rFonts w:hint="eastAsia" w:ascii="Times New Roman" w:hAnsi="Times New Roman" w:eastAsia="方正仿宋_GBK" w:cs="Times New Roman"/>
          <w:kern w:val="2"/>
          <w:sz w:val="32"/>
          <w:szCs w:val="32"/>
        </w:rPr>
        <w:t>市管</w:t>
      </w:r>
      <w:r>
        <w:rPr>
          <w:rFonts w:ascii="Times New Roman" w:hAnsi="Times New Roman" w:eastAsia="方正仿宋_GBK" w:cs="Times New Roman"/>
          <w:kern w:val="2"/>
          <w:sz w:val="32"/>
          <w:szCs w:val="32"/>
        </w:rPr>
        <w:t>园区在编制国土空间总体规划时，要将老旧小区改造用地安排纳入规划。市住房城乡建设</w:t>
      </w:r>
      <w:r>
        <w:rPr>
          <w:rFonts w:hint="eastAsia" w:ascii="Times New Roman" w:hAnsi="Times New Roman" w:eastAsia="方正仿宋_GBK" w:cs="Times New Roman"/>
          <w:kern w:val="2"/>
          <w:sz w:val="32"/>
          <w:szCs w:val="32"/>
        </w:rPr>
        <w:t>部门</w:t>
      </w:r>
      <w:r>
        <w:rPr>
          <w:rFonts w:ascii="Times New Roman" w:hAnsi="Times New Roman" w:eastAsia="方正仿宋_GBK" w:cs="Times New Roman"/>
          <w:kern w:val="2"/>
          <w:sz w:val="32"/>
          <w:szCs w:val="32"/>
        </w:rPr>
        <w:t>牵头组织编制《宿州市“十四五”城镇老旧小区改造规划》，并指导督促各县区（</w:t>
      </w:r>
      <w:r>
        <w:rPr>
          <w:rFonts w:hint="eastAsia" w:ascii="Times New Roman" w:hAnsi="Times New Roman" w:eastAsia="方正仿宋_GBK" w:cs="Times New Roman"/>
          <w:kern w:val="2"/>
          <w:sz w:val="32"/>
          <w:szCs w:val="32"/>
        </w:rPr>
        <w:t>市管</w:t>
      </w:r>
      <w:r>
        <w:rPr>
          <w:rFonts w:ascii="Times New Roman" w:hAnsi="Times New Roman" w:eastAsia="方正仿宋_GBK" w:cs="Times New Roman"/>
          <w:kern w:val="2"/>
          <w:sz w:val="32"/>
          <w:szCs w:val="32"/>
        </w:rPr>
        <w:t>园区）贯彻执行，县区、</w:t>
      </w:r>
      <w:r>
        <w:rPr>
          <w:rFonts w:hint="eastAsia" w:ascii="Times New Roman" w:hAnsi="Times New Roman" w:eastAsia="方正仿宋_GBK" w:cs="Times New Roman"/>
          <w:kern w:val="2"/>
          <w:sz w:val="32"/>
          <w:szCs w:val="32"/>
        </w:rPr>
        <w:t>市管</w:t>
      </w:r>
      <w:r>
        <w:rPr>
          <w:rFonts w:ascii="Times New Roman" w:hAnsi="Times New Roman" w:eastAsia="方正仿宋_GBK" w:cs="Times New Roman"/>
          <w:kern w:val="2"/>
          <w:sz w:val="32"/>
          <w:szCs w:val="32"/>
        </w:rPr>
        <w:t>园区住房城乡建设（房管）、自然资源规划部门要会同有关部门在调查摸底、征求意见的基础上，共同组织编制老旧小区改造规划、老旧片区改造实施方案，精准测算所需投资，科学划分改造区域，合理拓展改造实施单元，着力促进老旧片区改造项目收支平衡，并组织有关部门进行联合审查。对在小区内及周边新建、改扩建社区服务设施的，在不违反国家有关强制性规范、标准的前提下，可适当放宽建筑密度、容积率等技术指标约束。</w:t>
      </w:r>
    </w:p>
    <w:p>
      <w:pPr>
        <w:pStyle w:val="7"/>
        <w:overflowPunct w:val="0"/>
        <w:topLinePunct/>
        <w:spacing w:line="600" w:lineRule="exact"/>
        <w:ind w:firstLine="640" w:firstLineChars="200"/>
        <w:jc w:val="both"/>
        <w:rPr>
          <w:rFonts w:ascii="Times New Roman" w:hAnsi="Times New Roman" w:eastAsia="方正仿宋_GBK" w:cs="Times New Roman"/>
          <w:kern w:val="2"/>
          <w:sz w:val="32"/>
          <w:szCs w:val="32"/>
        </w:rPr>
      </w:pPr>
      <w:r>
        <w:rPr>
          <w:rFonts w:hint="eastAsia" w:ascii="Times New Roman" w:hAnsi="Times New Roman" w:eastAsia="方正楷体_GBK" w:cs="Times New Roman"/>
          <w:color w:val="auto"/>
          <w:kern w:val="2"/>
          <w:sz w:val="32"/>
          <w:szCs w:val="32"/>
        </w:rPr>
        <w:t>（二）</w:t>
      </w:r>
      <w:r>
        <w:rPr>
          <w:rFonts w:ascii="Times New Roman" w:hAnsi="Times New Roman" w:eastAsia="方正楷体_GBK" w:cs="Times New Roman"/>
          <w:color w:val="auto"/>
          <w:kern w:val="2"/>
          <w:sz w:val="32"/>
          <w:szCs w:val="32"/>
        </w:rPr>
        <w:t>加大用地保障。</w:t>
      </w:r>
      <w:r>
        <w:rPr>
          <w:rFonts w:ascii="Times New Roman" w:hAnsi="Times New Roman" w:eastAsia="方正仿宋_GBK" w:cs="Times New Roman"/>
          <w:kern w:val="2"/>
          <w:sz w:val="32"/>
          <w:szCs w:val="32"/>
        </w:rPr>
        <w:t>加强既有用地集约混合利用，在不违反规划且征得居民同意的前提下，允许利用小区及周边存量土地建设各类环境配套设施和公共服务设施，对利用小区内空地、荒地及拆除违法建设、拆危腾空土地加装电梯或建设配套设施的，可不增收土地价款。城镇老旧小区改造涉及利用闲置用房等存量房屋建设各类公共服务设施的，可在一定年期内暂不办理变更用地主体和土地使用性质手续。增设服务设施需要办理不动产登记的，不动产登记机构应依法积极予以办理。</w:t>
      </w:r>
    </w:p>
    <w:p>
      <w:pPr>
        <w:pStyle w:val="7"/>
        <w:overflowPunct w:val="0"/>
        <w:topLinePunct/>
        <w:spacing w:line="600" w:lineRule="exact"/>
        <w:ind w:firstLine="640" w:firstLineChars="200"/>
        <w:jc w:val="both"/>
        <w:rPr>
          <w:rFonts w:ascii="Times New Roman" w:hAnsi="Times New Roman" w:eastAsia="方正仿宋_GBK" w:cs="Times New Roman"/>
          <w:kern w:val="2"/>
          <w:sz w:val="32"/>
          <w:szCs w:val="32"/>
        </w:rPr>
      </w:pPr>
      <w:r>
        <w:rPr>
          <w:rFonts w:ascii="Times New Roman" w:hAnsi="Times New Roman" w:eastAsia="方正楷体_GBK" w:cs="Times New Roman"/>
          <w:color w:val="auto"/>
          <w:kern w:val="2"/>
          <w:sz w:val="32"/>
          <w:szCs w:val="32"/>
        </w:rPr>
        <w:t>（</w:t>
      </w:r>
      <w:r>
        <w:rPr>
          <w:rFonts w:hint="eastAsia" w:ascii="Times New Roman" w:hAnsi="Times New Roman" w:eastAsia="方正楷体_GBK" w:cs="Times New Roman"/>
          <w:color w:val="auto"/>
          <w:kern w:val="2"/>
          <w:sz w:val="32"/>
          <w:szCs w:val="32"/>
        </w:rPr>
        <w:t>三</w:t>
      </w:r>
      <w:r>
        <w:rPr>
          <w:rFonts w:ascii="Times New Roman" w:hAnsi="Times New Roman" w:eastAsia="方正楷体_GBK" w:cs="Times New Roman"/>
          <w:color w:val="auto"/>
          <w:kern w:val="2"/>
          <w:sz w:val="32"/>
          <w:szCs w:val="32"/>
        </w:rPr>
        <w:t>）落实税费支持。</w:t>
      </w:r>
      <w:r>
        <w:rPr>
          <w:rFonts w:ascii="Times New Roman" w:hAnsi="Times New Roman" w:eastAsia="方正仿宋_GBK" w:cs="Times New Roman"/>
          <w:kern w:val="2"/>
          <w:sz w:val="32"/>
          <w:szCs w:val="32"/>
        </w:rPr>
        <w:t>专业经营单位参与政府统一组织的城镇老旧小区改造，对其取得所有权的设施设备等配套资产改造所发生的费用，可以作为该设施设备的计税基础，按规定计提折旧；所发生的维护管理费用，可按规定计入企业当期费用予以税前扣除。在城镇老旧小区改造中，为社区提供养老、托育、家政等服务的机构，相应服务所得收入免征增值税，并减按90%计入所得税应纳税所得额；用于提供社区养老、托育、家政服务的房产、土地，可按现行规定免征契税、房产税、城镇土地使用税和城市基础设施配套费、不动产登记费等。对危旧房改造项目，严格落实国家和省有关减免行政事业性收费和政府性基金等政策。</w:t>
      </w:r>
    </w:p>
    <w:p>
      <w:pPr>
        <w:pStyle w:val="4"/>
        <w:shd w:val="clear" w:color="auto" w:fill="FFFFFF"/>
        <w:overflowPunct w:val="0"/>
        <w:topLinePunct/>
        <w:adjustRightInd w:val="0"/>
        <w:spacing w:before="0" w:beforeAutospacing="0" w:after="0" w:afterAutospacing="0" w:line="600" w:lineRule="exact"/>
        <w:ind w:firstLine="640" w:firstLineChars="200"/>
        <w:jc w:val="both"/>
        <w:rPr>
          <w:rFonts w:eastAsia="方正仿宋_GBK"/>
          <w:color w:val="000000"/>
          <w:sz w:val="21"/>
          <w:szCs w:val="21"/>
        </w:rPr>
      </w:pPr>
      <w:r>
        <w:rPr>
          <w:rFonts w:eastAsia="方正楷体_GBK"/>
          <w:kern w:val="2"/>
          <w:sz w:val="32"/>
          <w:szCs w:val="32"/>
        </w:rPr>
        <w:t>（</w:t>
      </w:r>
      <w:r>
        <w:rPr>
          <w:rFonts w:hint="eastAsia" w:eastAsia="方正楷体_GBK"/>
          <w:kern w:val="2"/>
          <w:sz w:val="32"/>
          <w:szCs w:val="32"/>
        </w:rPr>
        <w:t>四</w:t>
      </w:r>
      <w:r>
        <w:rPr>
          <w:rFonts w:eastAsia="方正楷体_GBK"/>
          <w:kern w:val="2"/>
          <w:sz w:val="32"/>
          <w:szCs w:val="32"/>
        </w:rPr>
        <w:t>）强化评估激励。</w:t>
      </w:r>
      <w:r>
        <w:rPr>
          <w:rFonts w:eastAsia="方正仿宋_GBK"/>
          <w:color w:val="000000"/>
          <w:kern w:val="2"/>
          <w:sz w:val="32"/>
          <w:szCs w:val="32"/>
        </w:rPr>
        <w:t>市</w:t>
      </w:r>
      <w:r>
        <w:rPr>
          <w:rFonts w:hint="eastAsia" w:eastAsia="方正仿宋_GBK"/>
          <w:color w:val="000000"/>
          <w:kern w:val="2"/>
          <w:sz w:val="32"/>
          <w:szCs w:val="32"/>
        </w:rPr>
        <w:t>住房城乡建设部门</w:t>
      </w:r>
      <w:r>
        <w:rPr>
          <w:rFonts w:eastAsia="方正仿宋_GBK"/>
          <w:color w:val="000000"/>
          <w:kern w:val="2"/>
          <w:sz w:val="32"/>
          <w:szCs w:val="32"/>
        </w:rPr>
        <w:t>每年组织对各县区、</w:t>
      </w:r>
      <w:r>
        <w:rPr>
          <w:rFonts w:hint="eastAsia" w:eastAsia="方正仿宋_GBK"/>
          <w:kern w:val="2"/>
          <w:sz w:val="32"/>
          <w:szCs w:val="32"/>
        </w:rPr>
        <w:t>市管</w:t>
      </w:r>
      <w:r>
        <w:rPr>
          <w:rFonts w:eastAsia="方正仿宋_GBK"/>
          <w:color w:val="000000"/>
          <w:kern w:val="2"/>
          <w:sz w:val="32"/>
          <w:szCs w:val="32"/>
        </w:rPr>
        <w:t>园区城镇老旧小区改造工作情况进行绩效评估，评估结果与中央及省级奖补资金挂钩；对工作突出的县区（</w:t>
      </w:r>
      <w:r>
        <w:rPr>
          <w:rFonts w:hint="eastAsia" w:eastAsia="方正仿宋_GBK"/>
          <w:kern w:val="2"/>
          <w:sz w:val="32"/>
          <w:szCs w:val="32"/>
        </w:rPr>
        <w:t>市管</w:t>
      </w:r>
      <w:r>
        <w:rPr>
          <w:rFonts w:eastAsia="方正仿宋_GBK"/>
          <w:color w:val="000000"/>
          <w:kern w:val="2"/>
          <w:sz w:val="32"/>
          <w:szCs w:val="32"/>
        </w:rPr>
        <w:t>园区），提请市政府予以褒扬激励。将城镇老旧小区改造工作纳入</w:t>
      </w:r>
      <w:r>
        <w:rPr>
          <w:rFonts w:hint="eastAsia" w:eastAsia="方正仿宋_GBK"/>
          <w:color w:val="000000"/>
          <w:kern w:val="2"/>
          <w:sz w:val="32"/>
          <w:szCs w:val="32"/>
        </w:rPr>
        <w:t>推进我市更高水平文明城市建设</w:t>
      </w:r>
      <w:r>
        <w:rPr>
          <w:rFonts w:eastAsia="方正仿宋_GBK"/>
          <w:color w:val="000000"/>
          <w:kern w:val="2"/>
          <w:sz w:val="32"/>
          <w:szCs w:val="32"/>
        </w:rPr>
        <w:t>内容，市</w:t>
      </w:r>
      <w:r>
        <w:rPr>
          <w:rFonts w:hint="eastAsia" w:eastAsia="方正仿宋_GBK"/>
          <w:color w:val="000000"/>
          <w:kern w:val="2"/>
          <w:sz w:val="32"/>
          <w:szCs w:val="32"/>
        </w:rPr>
        <w:t>住房城乡建设部门</w:t>
      </w:r>
      <w:r>
        <w:rPr>
          <w:rFonts w:eastAsia="方正仿宋_GBK"/>
          <w:color w:val="000000"/>
          <w:kern w:val="2"/>
          <w:sz w:val="32"/>
          <w:szCs w:val="32"/>
        </w:rPr>
        <w:t>会同市文明办，对改造提质工作成效突出的城镇老旧小区所在的社区，优先支持创建文明单位。</w:t>
      </w:r>
    </w:p>
    <w:p>
      <w:pPr>
        <w:pStyle w:val="3"/>
        <w:overflowPunct w:val="0"/>
        <w:topLinePunct/>
        <w:adjustRightInd w:val="0"/>
        <w:spacing w:line="600" w:lineRule="exact"/>
        <w:ind w:firstLine="640"/>
        <w:rPr>
          <w:rFonts w:ascii="Times New Roman" w:hAnsi="Times New Roman" w:eastAsia="方正仿宋_GBK"/>
          <w:color w:val="000000"/>
          <w:sz w:val="32"/>
          <w:szCs w:val="32"/>
        </w:rPr>
      </w:pPr>
      <w:r>
        <w:rPr>
          <w:rFonts w:ascii="Times New Roman" w:hAnsi="Times New Roman" w:eastAsia="方正楷体_GBK"/>
          <w:color w:val="000000"/>
          <w:sz w:val="32"/>
          <w:szCs w:val="32"/>
        </w:rPr>
        <w:t>（</w:t>
      </w:r>
      <w:r>
        <w:rPr>
          <w:rFonts w:hint="eastAsia" w:ascii="Times New Roman" w:hAnsi="Times New Roman" w:eastAsia="方正楷体_GBK"/>
          <w:color w:val="000000"/>
          <w:sz w:val="32"/>
          <w:szCs w:val="32"/>
        </w:rPr>
        <w:t>五</w:t>
      </w:r>
      <w:r>
        <w:rPr>
          <w:rFonts w:ascii="Times New Roman" w:hAnsi="Times New Roman" w:eastAsia="方正楷体_GBK"/>
          <w:color w:val="000000"/>
          <w:sz w:val="32"/>
          <w:szCs w:val="32"/>
        </w:rPr>
        <w:t>）加强宣传引导。</w:t>
      </w:r>
      <w:r>
        <w:rPr>
          <w:rFonts w:ascii="Times New Roman" w:hAnsi="Times New Roman" w:eastAsia="方正仿宋_GBK"/>
          <w:color w:val="000000"/>
          <w:sz w:val="32"/>
          <w:szCs w:val="32"/>
        </w:rPr>
        <w:t>市</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县区（</w:t>
      </w:r>
      <w:r>
        <w:rPr>
          <w:rFonts w:hint="eastAsia" w:ascii="Times New Roman" w:hAnsi="Times New Roman" w:eastAsia="方正仿宋_GBK"/>
          <w:color w:val="000000"/>
          <w:sz w:val="32"/>
          <w:szCs w:val="32"/>
        </w:rPr>
        <w:t>市管</w:t>
      </w:r>
      <w:r>
        <w:rPr>
          <w:rFonts w:ascii="Times New Roman" w:hAnsi="Times New Roman" w:eastAsia="方正仿宋_GBK"/>
          <w:color w:val="000000"/>
          <w:sz w:val="32"/>
          <w:szCs w:val="32"/>
        </w:rPr>
        <w:t>园区）城镇老旧小区改造主管部门要积极采取多种</w:t>
      </w:r>
      <w:r>
        <w:rPr>
          <w:rFonts w:hint="eastAsia" w:ascii="Times New Roman" w:hAnsi="Times New Roman" w:eastAsia="方正仿宋_GBK"/>
          <w:color w:val="000000"/>
          <w:sz w:val="32"/>
          <w:szCs w:val="32"/>
        </w:rPr>
        <w:t>宣传</w:t>
      </w:r>
      <w:r>
        <w:rPr>
          <w:rFonts w:ascii="Times New Roman" w:hAnsi="Times New Roman" w:eastAsia="方正仿宋_GBK"/>
          <w:color w:val="000000"/>
          <w:sz w:val="32"/>
          <w:szCs w:val="32"/>
        </w:rPr>
        <w:t>形式，灵活运用政府门户网站等主流媒体和</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两微一端</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等新兴媒体，广泛宣传城镇老旧小区改造工作的重要意义、方法步骤和改造政策，充分调动群众、专业机构、社会力量参与城镇老旧小区改造工作的积极性、主动性，构建社会广泛支持、群众积极参与的良好环境。组织社区基层做好政策解读和沟通解释，发挥党员模范带头作用，畅通参与渠道，及时回应社会关切，形成社会各界支持、居民积极参与的浓厚氛围。适时召开全市城镇老旧小区改造工作推进会、现场会，及时总结推广典型经验，推动工作。</w:t>
      </w:r>
    </w:p>
    <w:p>
      <w:pPr>
        <w:pStyle w:val="3"/>
        <w:overflowPunct w:val="0"/>
        <w:topLinePunct/>
        <w:adjustRightInd w:val="0"/>
        <w:spacing w:line="600" w:lineRule="exact"/>
        <w:ind w:firstLine="640"/>
        <w:rPr>
          <w:rFonts w:ascii="Times New Roman" w:hAnsi="Times New Roman" w:eastAsia="方正仿宋_GBK"/>
          <w:color w:val="000000"/>
          <w:sz w:val="32"/>
          <w:szCs w:val="32"/>
        </w:rPr>
      </w:pPr>
    </w:p>
    <w:p>
      <w:pPr>
        <w:pStyle w:val="3"/>
        <w:overflowPunct w:val="0"/>
        <w:topLinePunct/>
        <w:adjustRightInd w:val="0"/>
        <w:spacing w:line="600" w:lineRule="exact"/>
        <w:ind w:firstLine="640"/>
        <w:rPr>
          <w:rFonts w:hint="eastAsia" w:eastAsia="方正仿宋_GBK"/>
          <w:color w:val="000000"/>
          <w:sz w:val="32"/>
          <w:szCs w:val="32"/>
        </w:rPr>
      </w:pPr>
      <w:r>
        <w:rPr>
          <w:rFonts w:eastAsia="方正仿宋_GBK"/>
          <w:color w:val="000000"/>
          <w:sz w:val="32"/>
          <w:szCs w:val="32"/>
        </w:rPr>
        <w:t>附件：主要任务责任分工</w:t>
      </w:r>
    </w:p>
    <w:p>
      <w:pPr>
        <w:pStyle w:val="3"/>
        <w:overflowPunct w:val="0"/>
        <w:topLinePunct/>
        <w:adjustRightInd w:val="0"/>
        <w:spacing w:line="600" w:lineRule="exact"/>
        <w:ind w:firstLine="600"/>
        <w:rPr>
          <w:rFonts w:eastAsia="方正仿宋_GBK"/>
          <w:color w:val="000000"/>
          <w:sz w:val="30"/>
          <w:szCs w:val="30"/>
        </w:rPr>
      </w:pPr>
    </w:p>
    <w:p>
      <w:pPr>
        <w:overflowPunct w:val="0"/>
        <w:topLinePunct/>
        <w:adjustRightInd w:val="0"/>
        <w:spacing w:line="600" w:lineRule="exact"/>
        <w:rPr>
          <w:rFonts w:eastAsia="方正黑体_GBK"/>
          <w:sz w:val="32"/>
        </w:rPr>
      </w:pPr>
      <w:r>
        <w:rPr>
          <w:rFonts w:eastAsia="方正黑体_GBK"/>
          <w:sz w:val="32"/>
        </w:rPr>
        <w:t>附件</w:t>
      </w:r>
    </w:p>
    <w:p>
      <w:pPr>
        <w:overflowPunct w:val="0"/>
        <w:topLinePunct/>
        <w:adjustRightInd w:val="0"/>
        <w:spacing w:line="600" w:lineRule="exact"/>
        <w:rPr>
          <w:rFonts w:eastAsia="方正黑体_GBK"/>
          <w:sz w:val="32"/>
        </w:rPr>
      </w:pPr>
    </w:p>
    <w:p>
      <w:pPr>
        <w:overflowPunct w:val="0"/>
        <w:topLinePunct/>
        <w:adjustRightInd w:val="0"/>
        <w:spacing w:line="600" w:lineRule="exact"/>
        <w:jc w:val="center"/>
        <w:rPr>
          <w:rFonts w:eastAsia="方正小标宋_GBK"/>
          <w:sz w:val="44"/>
          <w:szCs w:val="44"/>
        </w:rPr>
      </w:pPr>
      <w:r>
        <w:rPr>
          <w:rFonts w:eastAsia="方正小标宋_GBK"/>
          <w:sz w:val="44"/>
          <w:szCs w:val="44"/>
        </w:rPr>
        <w:t>主要任务责任分工</w:t>
      </w:r>
    </w:p>
    <w:p/>
    <w:tbl>
      <w:tblPr>
        <w:tblStyle w:val="5"/>
        <w:tblW w:w="8867" w:type="dxa"/>
        <w:jc w:val="center"/>
        <w:tblLayout w:type="fixed"/>
        <w:tblCellMar>
          <w:top w:w="57" w:type="dxa"/>
          <w:left w:w="0" w:type="dxa"/>
          <w:bottom w:w="57" w:type="dxa"/>
          <w:right w:w="0" w:type="dxa"/>
        </w:tblCellMar>
      </w:tblPr>
      <w:tblGrid>
        <w:gridCol w:w="806"/>
        <w:gridCol w:w="2551"/>
        <w:gridCol w:w="5510"/>
      </w:tblGrid>
      <w:tr>
        <w:tblPrEx>
          <w:tblCellMar>
            <w:top w:w="57" w:type="dxa"/>
            <w:left w:w="0" w:type="dxa"/>
            <w:bottom w:w="57" w:type="dxa"/>
            <w:right w:w="0" w:type="dxa"/>
          </w:tblCellMar>
        </w:tblPrEx>
        <w:trPr>
          <w:trHeight w:val="680" w:hRule="atLeast"/>
          <w:tblHeader/>
          <w:jc w:val="center"/>
        </w:trPr>
        <w:tc>
          <w:tcPr>
            <w:tcW w:w="806" w:type="dxa"/>
            <w:tcBorders>
              <w:top w:val="single" w:color="231F20" w:sz="8" w:space="0"/>
              <w:left w:val="single" w:color="231F20" w:sz="8" w:space="0"/>
              <w:bottom w:val="single" w:color="231F20" w:sz="8" w:space="0"/>
              <w:right w:val="single" w:color="231F20" w:sz="8" w:space="0"/>
            </w:tcBorders>
            <w:noWrap w:val="0"/>
            <w:tcMar>
              <w:left w:w="108" w:type="dxa"/>
              <w:right w:w="108" w:type="dxa"/>
            </w:tcMar>
            <w:vAlign w:val="center"/>
          </w:tcPr>
          <w:p>
            <w:pPr>
              <w:pStyle w:val="4"/>
              <w:tabs>
                <w:tab w:val="left" w:pos="704"/>
              </w:tabs>
              <w:overflowPunct w:val="0"/>
              <w:topLinePunct/>
              <w:adjustRightInd w:val="0"/>
              <w:spacing w:before="0" w:beforeAutospacing="0" w:after="0" w:afterAutospacing="0" w:line="400" w:lineRule="exact"/>
              <w:jc w:val="center"/>
              <w:rPr>
                <w:rFonts w:hint="eastAsia" w:ascii="方正黑体_GBK" w:eastAsia="方正黑体_GBK"/>
                <w:sz w:val="28"/>
                <w:szCs w:val="28"/>
              </w:rPr>
            </w:pPr>
            <w:r>
              <w:rPr>
                <w:rFonts w:hint="eastAsia" w:ascii="方正黑体_GBK" w:eastAsia="方正黑体_GBK"/>
                <w:sz w:val="28"/>
                <w:szCs w:val="28"/>
              </w:rPr>
              <w:t>序号</w:t>
            </w:r>
          </w:p>
        </w:tc>
        <w:tc>
          <w:tcPr>
            <w:tcW w:w="2551" w:type="dxa"/>
            <w:tcBorders>
              <w:top w:val="single" w:color="231F20" w:sz="8" w:space="0"/>
              <w:left w:val="nil"/>
              <w:bottom w:val="single" w:color="231F20" w:sz="8" w:space="0"/>
              <w:right w:val="single" w:color="231F20" w:sz="8" w:space="0"/>
            </w:tcBorders>
            <w:noWrap w:val="0"/>
            <w:tcMar>
              <w:left w:w="108" w:type="dxa"/>
              <w:right w:w="108" w:type="dxa"/>
            </w:tcMar>
            <w:vAlign w:val="center"/>
          </w:tcPr>
          <w:p>
            <w:pPr>
              <w:pStyle w:val="4"/>
              <w:overflowPunct w:val="0"/>
              <w:topLinePunct/>
              <w:adjustRightInd w:val="0"/>
              <w:spacing w:before="0" w:beforeAutospacing="0" w:after="0" w:afterAutospacing="0" w:line="400" w:lineRule="exact"/>
              <w:jc w:val="center"/>
              <w:rPr>
                <w:rFonts w:hint="eastAsia" w:ascii="方正黑体_GBK" w:eastAsia="方正黑体_GBK"/>
                <w:sz w:val="28"/>
                <w:szCs w:val="28"/>
              </w:rPr>
            </w:pPr>
            <w:r>
              <w:rPr>
                <w:rFonts w:hint="eastAsia" w:ascii="方正黑体_GBK" w:eastAsia="方正黑体_GBK"/>
                <w:sz w:val="28"/>
                <w:szCs w:val="28"/>
              </w:rPr>
              <w:t>工作任务</w:t>
            </w:r>
          </w:p>
        </w:tc>
        <w:tc>
          <w:tcPr>
            <w:tcW w:w="5510" w:type="dxa"/>
            <w:tcBorders>
              <w:top w:val="single" w:color="231F20" w:sz="8" w:space="0"/>
              <w:left w:val="nil"/>
              <w:bottom w:val="single" w:color="231F20" w:sz="8" w:space="0"/>
              <w:right w:val="single" w:color="231F20" w:sz="8" w:space="0"/>
            </w:tcBorders>
            <w:noWrap w:val="0"/>
            <w:tcMar>
              <w:left w:w="108" w:type="dxa"/>
              <w:right w:w="108" w:type="dxa"/>
            </w:tcMar>
            <w:vAlign w:val="center"/>
          </w:tcPr>
          <w:p>
            <w:pPr>
              <w:pStyle w:val="4"/>
              <w:overflowPunct w:val="0"/>
              <w:topLinePunct/>
              <w:adjustRightInd w:val="0"/>
              <w:spacing w:before="0" w:beforeAutospacing="0" w:after="0" w:afterAutospacing="0" w:line="400" w:lineRule="exact"/>
              <w:jc w:val="center"/>
              <w:rPr>
                <w:rFonts w:hint="eastAsia" w:ascii="方正黑体_GBK" w:eastAsia="方正黑体_GBK"/>
                <w:sz w:val="28"/>
                <w:szCs w:val="28"/>
              </w:rPr>
            </w:pPr>
            <w:r>
              <w:rPr>
                <w:rFonts w:hint="eastAsia" w:ascii="方正黑体_GBK" w:eastAsia="方正黑体_GBK"/>
                <w:sz w:val="28"/>
                <w:szCs w:val="28"/>
              </w:rPr>
              <w:t>责任单位</w:t>
            </w:r>
          </w:p>
        </w:tc>
      </w:tr>
      <w:tr>
        <w:tblPrEx>
          <w:tblCellMar>
            <w:top w:w="57" w:type="dxa"/>
            <w:left w:w="0" w:type="dxa"/>
            <w:bottom w:w="57" w:type="dxa"/>
            <w:right w:w="0" w:type="dxa"/>
          </w:tblCellMar>
        </w:tblPrEx>
        <w:trPr>
          <w:trHeight w:val="680" w:hRule="atLeast"/>
          <w:jc w:val="center"/>
        </w:trPr>
        <w:tc>
          <w:tcPr>
            <w:tcW w:w="806" w:type="dxa"/>
            <w:tcBorders>
              <w:top w:val="nil"/>
              <w:left w:val="single" w:color="231F20" w:sz="8" w:space="0"/>
              <w:bottom w:val="single" w:color="231F20" w:sz="8" w:space="0"/>
              <w:right w:val="single" w:color="231F20" w:sz="8" w:space="0"/>
            </w:tcBorders>
            <w:noWrap/>
            <w:tcMar>
              <w:left w:w="108" w:type="dxa"/>
              <w:right w:w="108" w:type="dxa"/>
            </w:tcMar>
            <w:vAlign w:val="center"/>
          </w:tcPr>
          <w:p>
            <w:pPr>
              <w:pStyle w:val="4"/>
              <w:overflowPunct w:val="0"/>
              <w:topLinePunct/>
              <w:adjustRightInd w:val="0"/>
              <w:spacing w:before="0" w:beforeAutospacing="0" w:after="0" w:afterAutospacing="0" w:line="400" w:lineRule="exact"/>
              <w:jc w:val="center"/>
              <w:rPr>
                <w:rFonts w:eastAsia="方正仿宋_GBK"/>
                <w:sz w:val="28"/>
                <w:szCs w:val="28"/>
              </w:rPr>
            </w:pPr>
            <w:r>
              <w:rPr>
                <w:rFonts w:eastAsia="方正仿宋_GBK"/>
                <w:color w:val="000000"/>
                <w:sz w:val="28"/>
                <w:szCs w:val="28"/>
              </w:rPr>
              <w:t>1</w:t>
            </w:r>
          </w:p>
        </w:tc>
        <w:tc>
          <w:tcPr>
            <w:tcW w:w="2551" w:type="dxa"/>
            <w:tcBorders>
              <w:top w:val="nil"/>
              <w:left w:val="nil"/>
              <w:bottom w:val="single" w:color="231F20" w:sz="8" w:space="0"/>
              <w:right w:val="single" w:color="231F20" w:sz="8" w:space="0"/>
            </w:tcBorders>
            <w:noWrap w:val="0"/>
            <w:tcMar>
              <w:left w:w="108" w:type="dxa"/>
              <w:right w:w="108" w:type="dxa"/>
            </w:tcMar>
            <w:vAlign w:val="center"/>
          </w:tcPr>
          <w:p>
            <w:pPr>
              <w:pStyle w:val="4"/>
              <w:overflowPunct w:val="0"/>
              <w:topLinePunct/>
              <w:adjustRightInd w:val="0"/>
              <w:spacing w:before="0" w:beforeAutospacing="0" w:after="0" w:afterAutospacing="0" w:line="400" w:lineRule="exact"/>
              <w:jc w:val="both"/>
              <w:rPr>
                <w:rFonts w:hint="eastAsia" w:ascii="方正黑体_GBK" w:eastAsia="方正黑体_GBK"/>
                <w:sz w:val="28"/>
                <w:szCs w:val="28"/>
              </w:rPr>
            </w:pPr>
            <w:r>
              <w:rPr>
                <w:rFonts w:hint="eastAsia" w:ascii="方正黑体_GBK" w:eastAsia="方正黑体_GBK"/>
                <w:sz w:val="28"/>
                <w:szCs w:val="28"/>
              </w:rPr>
              <w:t>改造范围和改造内容</w:t>
            </w:r>
          </w:p>
        </w:tc>
        <w:tc>
          <w:tcPr>
            <w:tcW w:w="5510" w:type="dxa"/>
            <w:tcBorders>
              <w:top w:val="nil"/>
              <w:left w:val="nil"/>
              <w:bottom w:val="single" w:color="231F20" w:sz="8" w:space="0"/>
              <w:right w:val="single" w:color="231F20" w:sz="8" w:space="0"/>
            </w:tcBorders>
            <w:noWrap w:val="0"/>
            <w:tcMar>
              <w:left w:w="108" w:type="dxa"/>
              <w:right w:w="108" w:type="dxa"/>
            </w:tcMar>
            <w:vAlign w:val="center"/>
          </w:tcPr>
          <w:p>
            <w:pPr>
              <w:pStyle w:val="4"/>
              <w:overflowPunct w:val="0"/>
              <w:topLinePunct/>
              <w:adjustRightInd w:val="0"/>
              <w:spacing w:before="0" w:beforeAutospacing="0" w:after="0" w:afterAutospacing="0" w:line="400" w:lineRule="exact"/>
              <w:jc w:val="both"/>
              <w:rPr>
                <w:rFonts w:eastAsia="方正仿宋_GBK"/>
                <w:sz w:val="28"/>
                <w:szCs w:val="28"/>
              </w:rPr>
            </w:pPr>
            <w:r>
              <w:rPr>
                <w:rFonts w:eastAsia="方正仿宋_GBK"/>
                <w:sz w:val="28"/>
                <w:szCs w:val="28"/>
              </w:rPr>
              <w:t>市住房城乡建设局、市发展改革委、市财政局、各县区人民政府、市管园区管委会，市民政局、市</w:t>
            </w:r>
            <w:r>
              <w:rPr>
                <w:rFonts w:hint="eastAsia" w:eastAsia="方正仿宋_GBK"/>
                <w:sz w:val="28"/>
                <w:szCs w:val="28"/>
              </w:rPr>
              <w:t>教育体育</w:t>
            </w:r>
            <w:r>
              <w:rPr>
                <w:rFonts w:eastAsia="方正仿宋_GBK"/>
                <w:sz w:val="28"/>
                <w:szCs w:val="28"/>
              </w:rPr>
              <w:t>局、市自然资源局、市文化和旅游局、市</w:t>
            </w:r>
            <w:r>
              <w:rPr>
                <w:rFonts w:hint="eastAsia" w:eastAsia="方正仿宋_GBK"/>
                <w:sz w:val="28"/>
                <w:szCs w:val="28"/>
              </w:rPr>
              <w:t>卫生健康</w:t>
            </w:r>
            <w:r>
              <w:rPr>
                <w:rFonts w:eastAsia="方正仿宋_GBK"/>
                <w:sz w:val="28"/>
                <w:szCs w:val="28"/>
              </w:rPr>
              <w:t>委、市公安局、市市场监管局、市商务局、市邮政管理局、市</w:t>
            </w:r>
            <w:r>
              <w:rPr>
                <w:rFonts w:hint="eastAsia" w:eastAsia="方正仿宋_GBK"/>
                <w:sz w:val="28"/>
                <w:szCs w:val="28"/>
              </w:rPr>
              <w:t>经济和信息化</w:t>
            </w:r>
            <w:r>
              <w:rPr>
                <w:rFonts w:eastAsia="方正仿宋_GBK"/>
                <w:sz w:val="28"/>
                <w:szCs w:val="28"/>
              </w:rPr>
              <w:t>局、市消防救援支队以及相关专业经营单位（逗号前为牵头单位，下同。以下工作均需县区人民政府、市管园区管委会落实，不再列出）</w:t>
            </w:r>
          </w:p>
        </w:tc>
      </w:tr>
      <w:tr>
        <w:tblPrEx>
          <w:tblCellMar>
            <w:top w:w="57" w:type="dxa"/>
            <w:left w:w="0" w:type="dxa"/>
            <w:bottom w:w="57" w:type="dxa"/>
            <w:right w:w="0" w:type="dxa"/>
          </w:tblCellMar>
        </w:tblPrEx>
        <w:trPr>
          <w:trHeight w:val="680" w:hRule="atLeast"/>
          <w:jc w:val="center"/>
        </w:trPr>
        <w:tc>
          <w:tcPr>
            <w:tcW w:w="806" w:type="dxa"/>
            <w:tcBorders>
              <w:top w:val="nil"/>
              <w:left w:val="single" w:color="231F20" w:sz="8" w:space="0"/>
              <w:bottom w:val="single" w:color="231F20" w:sz="8" w:space="0"/>
              <w:right w:val="single" w:color="231F20" w:sz="8" w:space="0"/>
            </w:tcBorders>
            <w:noWrap/>
            <w:tcMar>
              <w:left w:w="108" w:type="dxa"/>
              <w:right w:w="108" w:type="dxa"/>
            </w:tcMar>
            <w:vAlign w:val="center"/>
          </w:tcPr>
          <w:p>
            <w:pPr>
              <w:pStyle w:val="4"/>
              <w:overflowPunct w:val="0"/>
              <w:topLinePunct/>
              <w:adjustRightInd w:val="0"/>
              <w:spacing w:before="0" w:beforeAutospacing="0" w:after="0" w:afterAutospacing="0" w:line="400" w:lineRule="exact"/>
              <w:jc w:val="center"/>
              <w:rPr>
                <w:rFonts w:eastAsia="方正仿宋_GBK"/>
                <w:sz w:val="28"/>
                <w:szCs w:val="28"/>
              </w:rPr>
            </w:pPr>
            <w:r>
              <w:rPr>
                <w:rFonts w:eastAsia="方正仿宋_GBK"/>
                <w:color w:val="000000"/>
                <w:sz w:val="28"/>
                <w:szCs w:val="28"/>
              </w:rPr>
              <w:t>2</w:t>
            </w:r>
          </w:p>
        </w:tc>
        <w:tc>
          <w:tcPr>
            <w:tcW w:w="2551" w:type="dxa"/>
            <w:tcBorders>
              <w:top w:val="nil"/>
              <w:left w:val="nil"/>
              <w:bottom w:val="single" w:color="231F20" w:sz="8" w:space="0"/>
              <w:right w:val="single" w:color="231F20" w:sz="8" w:space="0"/>
            </w:tcBorders>
            <w:noWrap w:val="0"/>
            <w:tcMar>
              <w:left w:w="108" w:type="dxa"/>
              <w:right w:w="108" w:type="dxa"/>
            </w:tcMar>
            <w:vAlign w:val="center"/>
          </w:tcPr>
          <w:p>
            <w:pPr>
              <w:pStyle w:val="4"/>
              <w:overflowPunct w:val="0"/>
              <w:topLinePunct/>
              <w:adjustRightInd w:val="0"/>
              <w:spacing w:before="0" w:beforeAutospacing="0" w:after="0" w:afterAutospacing="0" w:line="400" w:lineRule="exact"/>
              <w:jc w:val="both"/>
              <w:rPr>
                <w:rFonts w:hint="eastAsia" w:ascii="方正黑体_GBK" w:eastAsia="方正黑体_GBK"/>
                <w:sz w:val="28"/>
                <w:szCs w:val="28"/>
              </w:rPr>
            </w:pPr>
            <w:r>
              <w:rPr>
                <w:rFonts w:hint="eastAsia" w:ascii="方正黑体_GBK" w:eastAsia="方正黑体_GBK"/>
                <w:sz w:val="28"/>
                <w:szCs w:val="28"/>
              </w:rPr>
              <w:t>编制改造专项规划和年度计划</w:t>
            </w:r>
          </w:p>
        </w:tc>
        <w:tc>
          <w:tcPr>
            <w:tcW w:w="5510" w:type="dxa"/>
            <w:tcBorders>
              <w:top w:val="nil"/>
              <w:left w:val="nil"/>
              <w:bottom w:val="single" w:color="231F20" w:sz="8" w:space="0"/>
              <w:right w:val="single" w:color="231F20" w:sz="8" w:space="0"/>
            </w:tcBorders>
            <w:noWrap w:val="0"/>
            <w:tcMar>
              <w:left w:w="108" w:type="dxa"/>
              <w:right w:w="108" w:type="dxa"/>
            </w:tcMar>
            <w:vAlign w:val="center"/>
          </w:tcPr>
          <w:p>
            <w:pPr>
              <w:pStyle w:val="4"/>
              <w:overflowPunct w:val="0"/>
              <w:topLinePunct/>
              <w:adjustRightInd w:val="0"/>
              <w:spacing w:before="0" w:beforeAutospacing="0" w:after="0" w:afterAutospacing="0" w:line="400" w:lineRule="exact"/>
              <w:jc w:val="both"/>
              <w:rPr>
                <w:rFonts w:eastAsia="方正仿宋_GBK"/>
                <w:sz w:val="28"/>
                <w:szCs w:val="28"/>
              </w:rPr>
            </w:pPr>
            <w:r>
              <w:rPr>
                <w:rFonts w:eastAsia="方正仿宋_GBK"/>
                <w:sz w:val="28"/>
                <w:szCs w:val="28"/>
              </w:rPr>
              <w:t>市住房城乡建设局、市发展改革委、市财政局，市民政局、市</w:t>
            </w:r>
            <w:r>
              <w:rPr>
                <w:rFonts w:hint="eastAsia" w:eastAsia="方正仿宋_GBK"/>
                <w:sz w:val="28"/>
                <w:szCs w:val="28"/>
              </w:rPr>
              <w:t>教育体育</w:t>
            </w:r>
            <w:r>
              <w:rPr>
                <w:rFonts w:eastAsia="方正仿宋_GBK"/>
                <w:sz w:val="28"/>
                <w:szCs w:val="28"/>
              </w:rPr>
              <w:t>局、市自然资源局、市文化和旅游局、市</w:t>
            </w:r>
            <w:r>
              <w:rPr>
                <w:rFonts w:hint="eastAsia" w:eastAsia="方正仿宋_GBK"/>
                <w:sz w:val="28"/>
                <w:szCs w:val="28"/>
              </w:rPr>
              <w:t>卫生健康</w:t>
            </w:r>
            <w:r>
              <w:rPr>
                <w:rFonts w:eastAsia="方正仿宋_GBK"/>
                <w:sz w:val="28"/>
                <w:szCs w:val="28"/>
              </w:rPr>
              <w:t>委、市公安局、市市场监管局、市商务局、市邮政管理局、市</w:t>
            </w:r>
            <w:r>
              <w:rPr>
                <w:rFonts w:hint="eastAsia" w:eastAsia="方正仿宋_GBK"/>
                <w:sz w:val="28"/>
                <w:szCs w:val="28"/>
              </w:rPr>
              <w:t>经济和信息化</w:t>
            </w:r>
            <w:r>
              <w:rPr>
                <w:rFonts w:eastAsia="方正仿宋_GBK"/>
                <w:sz w:val="28"/>
                <w:szCs w:val="28"/>
              </w:rPr>
              <w:t>局、市消防救援支队以及相关专业经营单位</w:t>
            </w:r>
          </w:p>
        </w:tc>
      </w:tr>
      <w:tr>
        <w:tblPrEx>
          <w:tblCellMar>
            <w:top w:w="57" w:type="dxa"/>
            <w:left w:w="0" w:type="dxa"/>
            <w:bottom w:w="57" w:type="dxa"/>
            <w:right w:w="0" w:type="dxa"/>
          </w:tblCellMar>
        </w:tblPrEx>
        <w:trPr>
          <w:trHeight w:val="680" w:hRule="atLeast"/>
          <w:jc w:val="center"/>
        </w:trPr>
        <w:tc>
          <w:tcPr>
            <w:tcW w:w="806" w:type="dxa"/>
            <w:tcBorders>
              <w:top w:val="nil"/>
              <w:left w:val="single" w:color="231F20" w:sz="8" w:space="0"/>
              <w:bottom w:val="single" w:color="231F20" w:sz="8" w:space="0"/>
              <w:right w:val="single" w:color="231F20" w:sz="8" w:space="0"/>
            </w:tcBorders>
            <w:noWrap/>
            <w:tcMar>
              <w:left w:w="108" w:type="dxa"/>
              <w:right w:w="108" w:type="dxa"/>
            </w:tcMar>
            <w:vAlign w:val="center"/>
          </w:tcPr>
          <w:p>
            <w:pPr>
              <w:pStyle w:val="4"/>
              <w:overflowPunct w:val="0"/>
              <w:topLinePunct/>
              <w:adjustRightInd w:val="0"/>
              <w:spacing w:before="0" w:beforeAutospacing="0" w:after="0" w:afterAutospacing="0" w:line="400" w:lineRule="exact"/>
              <w:jc w:val="center"/>
              <w:rPr>
                <w:rFonts w:eastAsia="方正仿宋_GBK"/>
                <w:sz w:val="28"/>
                <w:szCs w:val="28"/>
              </w:rPr>
            </w:pPr>
            <w:r>
              <w:rPr>
                <w:rFonts w:eastAsia="方正仿宋_GBK"/>
                <w:color w:val="000000"/>
                <w:sz w:val="28"/>
                <w:szCs w:val="28"/>
              </w:rPr>
              <w:t>3</w:t>
            </w:r>
          </w:p>
        </w:tc>
        <w:tc>
          <w:tcPr>
            <w:tcW w:w="2551" w:type="dxa"/>
            <w:tcBorders>
              <w:top w:val="nil"/>
              <w:left w:val="nil"/>
              <w:bottom w:val="single" w:color="231F20" w:sz="8" w:space="0"/>
              <w:right w:val="single" w:color="231F20" w:sz="8" w:space="0"/>
            </w:tcBorders>
            <w:noWrap w:val="0"/>
            <w:tcMar>
              <w:left w:w="108" w:type="dxa"/>
              <w:right w:w="108" w:type="dxa"/>
            </w:tcMar>
            <w:vAlign w:val="center"/>
          </w:tcPr>
          <w:p>
            <w:pPr>
              <w:pStyle w:val="4"/>
              <w:overflowPunct w:val="0"/>
              <w:topLinePunct/>
              <w:adjustRightInd w:val="0"/>
              <w:spacing w:before="0" w:beforeAutospacing="0" w:after="0" w:afterAutospacing="0" w:line="400" w:lineRule="exact"/>
              <w:jc w:val="both"/>
              <w:rPr>
                <w:rFonts w:hint="eastAsia" w:ascii="方正黑体_GBK" w:eastAsia="方正黑体_GBK"/>
                <w:sz w:val="28"/>
                <w:szCs w:val="28"/>
              </w:rPr>
            </w:pPr>
            <w:r>
              <w:rPr>
                <w:rFonts w:hint="eastAsia" w:ascii="方正黑体_GBK" w:eastAsia="方正黑体_GBK"/>
                <w:sz w:val="28"/>
                <w:szCs w:val="28"/>
              </w:rPr>
              <w:t>协同制定改造方案</w:t>
            </w:r>
          </w:p>
        </w:tc>
        <w:tc>
          <w:tcPr>
            <w:tcW w:w="5510" w:type="dxa"/>
            <w:tcBorders>
              <w:top w:val="nil"/>
              <w:left w:val="nil"/>
              <w:bottom w:val="single" w:color="231F20" w:sz="8" w:space="0"/>
              <w:right w:val="single" w:color="231F20" w:sz="8" w:space="0"/>
            </w:tcBorders>
            <w:noWrap w:val="0"/>
            <w:tcMar>
              <w:left w:w="108" w:type="dxa"/>
              <w:right w:w="108" w:type="dxa"/>
            </w:tcMar>
            <w:vAlign w:val="center"/>
          </w:tcPr>
          <w:p>
            <w:pPr>
              <w:pStyle w:val="4"/>
              <w:overflowPunct w:val="0"/>
              <w:topLinePunct/>
              <w:adjustRightInd w:val="0"/>
              <w:spacing w:before="0" w:beforeAutospacing="0" w:after="0" w:afterAutospacing="0" w:line="400" w:lineRule="exact"/>
              <w:jc w:val="both"/>
              <w:rPr>
                <w:rFonts w:eastAsia="方正仿宋_GBK"/>
                <w:sz w:val="28"/>
                <w:szCs w:val="28"/>
              </w:rPr>
            </w:pPr>
            <w:r>
              <w:rPr>
                <w:rFonts w:eastAsia="方正仿宋_GBK"/>
                <w:sz w:val="28"/>
                <w:szCs w:val="28"/>
              </w:rPr>
              <w:t>市住房城乡建设局、市自然资源局，市民政局、市</w:t>
            </w:r>
            <w:r>
              <w:rPr>
                <w:rFonts w:hint="eastAsia" w:eastAsia="方正仿宋_GBK"/>
                <w:sz w:val="28"/>
                <w:szCs w:val="28"/>
              </w:rPr>
              <w:t>教育体育</w:t>
            </w:r>
            <w:r>
              <w:rPr>
                <w:rFonts w:eastAsia="方正仿宋_GBK"/>
                <w:sz w:val="28"/>
                <w:szCs w:val="28"/>
              </w:rPr>
              <w:t>局、市文化和旅游局、市</w:t>
            </w:r>
            <w:r>
              <w:rPr>
                <w:rFonts w:hint="eastAsia" w:eastAsia="方正仿宋_GBK"/>
                <w:sz w:val="28"/>
                <w:szCs w:val="28"/>
              </w:rPr>
              <w:t>卫生健康</w:t>
            </w:r>
            <w:r>
              <w:rPr>
                <w:rFonts w:eastAsia="方正仿宋_GBK"/>
                <w:sz w:val="28"/>
                <w:szCs w:val="28"/>
              </w:rPr>
              <w:t>委、市公安局、市市场监管局、市商务局、市邮政管理局、市</w:t>
            </w:r>
            <w:r>
              <w:rPr>
                <w:rFonts w:hint="eastAsia" w:eastAsia="方正仿宋_GBK"/>
                <w:sz w:val="28"/>
                <w:szCs w:val="28"/>
              </w:rPr>
              <w:t>经济和信息化</w:t>
            </w:r>
            <w:r>
              <w:rPr>
                <w:rFonts w:eastAsia="方正仿宋_GBK"/>
                <w:sz w:val="28"/>
                <w:szCs w:val="28"/>
              </w:rPr>
              <w:t>局、市消防救援支队</w:t>
            </w:r>
            <w:r>
              <w:rPr>
                <w:rFonts w:hint="eastAsia" w:eastAsia="方正仿宋_GBK"/>
                <w:sz w:val="28"/>
                <w:szCs w:val="28"/>
              </w:rPr>
              <w:t>以及</w:t>
            </w:r>
            <w:r>
              <w:rPr>
                <w:rFonts w:eastAsia="方正仿宋_GBK"/>
                <w:sz w:val="28"/>
                <w:szCs w:val="28"/>
              </w:rPr>
              <w:t>相关专业经营单位</w:t>
            </w:r>
          </w:p>
        </w:tc>
      </w:tr>
      <w:tr>
        <w:tblPrEx>
          <w:tblCellMar>
            <w:top w:w="57" w:type="dxa"/>
            <w:left w:w="0" w:type="dxa"/>
            <w:bottom w:w="57" w:type="dxa"/>
            <w:right w:w="0" w:type="dxa"/>
          </w:tblCellMar>
        </w:tblPrEx>
        <w:trPr>
          <w:trHeight w:val="680" w:hRule="atLeast"/>
          <w:jc w:val="center"/>
        </w:trPr>
        <w:tc>
          <w:tcPr>
            <w:tcW w:w="806" w:type="dxa"/>
            <w:tcBorders>
              <w:top w:val="nil"/>
              <w:left w:val="single" w:color="231F20" w:sz="8" w:space="0"/>
              <w:bottom w:val="single" w:color="231F20" w:sz="8" w:space="0"/>
              <w:right w:val="single" w:color="231F20" w:sz="8" w:space="0"/>
            </w:tcBorders>
            <w:noWrap/>
            <w:tcMar>
              <w:left w:w="108" w:type="dxa"/>
              <w:right w:w="108" w:type="dxa"/>
            </w:tcMar>
            <w:vAlign w:val="center"/>
          </w:tcPr>
          <w:p>
            <w:pPr>
              <w:pStyle w:val="4"/>
              <w:overflowPunct w:val="0"/>
              <w:topLinePunct/>
              <w:adjustRightInd w:val="0"/>
              <w:spacing w:before="0" w:beforeAutospacing="0" w:after="0" w:afterAutospacing="0" w:line="400" w:lineRule="exact"/>
              <w:jc w:val="center"/>
              <w:rPr>
                <w:rFonts w:eastAsia="方正仿宋_GBK"/>
                <w:sz w:val="28"/>
                <w:szCs w:val="28"/>
              </w:rPr>
            </w:pPr>
            <w:r>
              <w:rPr>
                <w:rFonts w:eastAsia="方正仿宋_GBK"/>
                <w:color w:val="000000"/>
                <w:sz w:val="28"/>
                <w:szCs w:val="28"/>
              </w:rPr>
              <w:t>4</w:t>
            </w:r>
          </w:p>
        </w:tc>
        <w:tc>
          <w:tcPr>
            <w:tcW w:w="2551" w:type="dxa"/>
            <w:tcBorders>
              <w:top w:val="nil"/>
              <w:left w:val="nil"/>
              <w:bottom w:val="single" w:color="231F20" w:sz="8" w:space="0"/>
              <w:right w:val="single" w:color="231F20" w:sz="8" w:space="0"/>
            </w:tcBorders>
            <w:noWrap w:val="0"/>
            <w:tcMar>
              <w:left w:w="108" w:type="dxa"/>
              <w:right w:w="108" w:type="dxa"/>
            </w:tcMar>
            <w:vAlign w:val="center"/>
          </w:tcPr>
          <w:p>
            <w:pPr>
              <w:pStyle w:val="4"/>
              <w:overflowPunct w:val="0"/>
              <w:topLinePunct/>
              <w:adjustRightInd w:val="0"/>
              <w:spacing w:before="0" w:beforeAutospacing="0" w:after="0" w:afterAutospacing="0" w:line="400" w:lineRule="exact"/>
              <w:jc w:val="both"/>
              <w:rPr>
                <w:rFonts w:hint="eastAsia" w:ascii="方正黑体_GBK" w:eastAsia="方正黑体_GBK"/>
                <w:sz w:val="28"/>
                <w:szCs w:val="28"/>
              </w:rPr>
            </w:pPr>
            <w:r>
              <w:rPr>
                <w:rFonts w:hint="eastAsia" w:ascii="方正黑体_GBK" w:eastAsia="方正黑体_GBK"/>
                <w:sz w:val="28"/>
                <w:szCs w:val="28"/>
              </w:rPr>
              <w:t>明确改造实施（投资）主体</w:t>
            </w:r>
          </w:p>
        </w:tc>
        <w:tc>
          <w:tcPr>
            <w:tcW w:w="5510" w:type="dxa"/>
            <w:tcBorders>
              <w:top w:val="nil"/>
              <w:left w:val="nil"/>
              <w:bottom w:val="single" w:color="231F20" w:sz="8" w:space="0"/>
              <w:right w:val="single" w:color="231F20" w:sz="8" w:space="0"/>
            </w:tcBorders>
            <w:noWrap w:val="0"/>
            <w:tcMar>
              <w:left w:w="108" w:type="dxa"/>
              <w:right w:w="108" w:type="dxa"/>
            </w:tcMar>
            <w:vAlign w:val="center"/>
          </w:tcPr>
          <w:p>
            <w:pPr>
              <w:pStyle w:val="4"/>
              <w:overflowPunct w:val="0"/>
              <w:topLinePunct/>
              <w:adjustRightInd w:val="0"/>
              <w:spacing w:before="0" w:beforeAutospacing="0" w:after="0" w:afterAutospacing="0" w:line="400" w:lineRule="exact"/>
              <w:jc w:val="both"/>
              <w:rPr>
                <w:rFonts w:eastAsia="方正仿宋_GBK"/>
                <w:sz w:val="28"/>
                <w:szCs w:val="28"/>
              </w:rPr>
            </w:pPr>
            <w:r>
              <w:rPr>
                <w:rFonts w:eastAsia="方正仿宋_GBK"/>
                <w:sz w:val="28"/>
                <w:szCs w:val="28"/>
              </w:rPr>
              <w:t>市住房城乡建设局、市发展改革委、市财政局</w:t>
            </w:r>
          </w:p>
        </w:tc>
      </w:tr>
      <w:tr>
        <w:tblPrEx>
          <w:tblCellMar>
            <w:top w:w="57" w:type="dxa"/>
            <w:left w:w="0" w:type="dxa"/>
            <w:bottom w:w="57" w:type="dxa"/>
            <w:right w:w="0" w:type="dxa"/>
          </w:tblCellMar>
        </w:tblPrEx>
        <w:trPr>
          <w:trHeight w:val="680" w:hRule="atLeast"/>
          <w:jc w:val="center"/>
        </w:trPr>
        <w:tc>
          <w:tcPr>
            <w:tcW w:w="806" w:type="dxa"/>
            <w:tcBorders>
              <w:top w:val="nil"/>
              <w:left w:val="single" w:color="231F20" w:sz="8" w:space="0"/>
              <w:bottom w:val="single" w:color="231F20" w:sz="8" w:space="0"/>
              <w:right w:val="single" w:color="231F20" w:sz="8" w:space="0"/>
            </w:tcBorders>
            <w:noWrap/>
            <w:tcMar>
              <w:left w:w="108" w:type="dxa"/>
              <w:right w:w="108" w:type="dxa"/>
            </w:tcMar>
            <w:vAlign w:val="center"/>
          </w:tcPr>
          <w:p>
            <w:pPr>
              <w:pStyle w:val="4"/>
              <w:overflowPunct w:val="0"/>
              <w:topLinePunct/>
              <w:adjustRightInd w:val="0"/>
              <w:spacing w:before="0" w:beforeAutospacing="0" w:after="0" w:afterAutospacing="0" w:line="400" w:lineRule="exact"/>
              <w:jc w:val="center"/>
              <w:rPr>
                <w:rFonts w:eastAsia="方正仿宋_GBK"/>
                <w:sz w:val="28"/>
                <w:szCs w:val="28"/>
              </w:rPr>
            </w:pPr>
            <w:r>
              <w:rPr>
                <w:rFonts w:eastAsia="方正仿宋_GBK"/>
                <w:color w:val="000000"/>
                <w:sz w:val="28"/>
                <w:szCs w:val="28"/>
              </w:rPr>
              <w:t>5</w:t>
            </w:r>
          </w:p>
        </w:tc>
        <w:tc>
          <w:tcPr>
            <w:tcW w:w="2551" w:type="dxa"/>
            <w:tcBorders>
              <w:top w:val="nil"/>
              <w:left w:val="nil"/>
              <w:bottom w:val="single" w:color="231F20" w:sz="8" w:space="0"/>
              <w:right w:val="single" w:color="231F20" w:sz="8" w:space="0"/>
            </w:tcBorders>
            <w:noWrap w:val="0"/>
            <w:tcMar>
              <w:left w:w="108" w:type="dxa"/>
              <w:right w:w="108" w:type="dxa"/>
            </w:tcMar>
            <w:vAlign w:val="center"/>
          </w:tcPr>
          <w:p>
            <w:pPr>
              <w:pStyle w:val="4"/>
              <w:overflowPunct w:val="0"/>
              <w:topLinePunct/>
              <w:adjustRightInd w:val="0"/>
              <w:spacing w:before="0" w:beforeAutospacing="0" w:after="0" w:afterAutospacing="0" w:line="400" w:lineRule="exact"/>
              <w:jc w:val="both"/>
              <w:rPr>
                <w:rFonts w:hint="eastAsia" w:ascii="方正黑体_GBK" w:eastAsia="方正黑体_GBK"/>
                <w:sz w:val="28"/>
                <w:szCs w:val="28"/>
              </w:rPr>
            </w:pPr>
            <w:r>
              <w:rPr>
                <w:rFonts w:hint="eastAsia" w:ascii="方正黑体_GBK" w:eastAsia="方正黑体_GBK"/>
                <w:sz w:val="28"/>
                <w:szCs w:val="28"/>
              </w:rPr>
              <w:t>强化专营设施一体改造</w:t>
            </w:r>
          </w:p>
        </w:tc>
        <w:tc>
          <w:tcPr>
            <w:tcW w:w="5510" w:type="dxa"/>
            <w:tcBorders>
              <w:top w:val="nil"/>
              <w:left w:val="nil"/>
              <w:bottom w:val="single" w:color="231F20" w:sz="8" w:space="0"/>
              <w:right w:val="single" w:color="231F20" w:sz="8" w:space="0"/>
            </w:tcBorders>
            <w:noWrap w:val="0"/>
            <w:tcMar>
              <w:left w:w="108" w:type="dxa"/>
              <w:right w:w="108" w:type="dxa"/>
            </w:tcMar>
            <w:vAlign w:val="center"/>
          </w:tcPr>
          <w:p>
            <w:pPr>
              <w:pStyle w:val="4"/>
              <w:overflowPunct w:val="0"/>
              <w:topLinePunct/>
              <w:adjustRightInd w:val="0"/>
              <w:spacing w:before="0" w:beforeAutospacing="0" w:after="0" w:afterAutospacing="0" w:line="400" w:lineRule="exact"/>
              <w:jc w:val="both"/>
              <w:rPr>
                <w:rFonts w:eastAsia="方正仿宋_GBK"/>
                <w:sz w:val="28"/>
                <w:szCs w:val="28"/>
              </w:rPr>
            </w:pPr>
            <w:r>
              <w:rPr>
                <w:rFonts w:eastAsia="方正仿宋_GBK"/>
                <w:sz w:val="28"/>
                <w:szCs w:val="28"/>
              </w:rPr>
              <w:t>市住房城乡建设局</w:t>
            </w:r>
            <w:r>
              <w:rPr>
                <w:rFonts w:hint="eastAsia" w:eastAsia="方正仿宋_GBK"/>
                <w:sz w:val="28"/>
                <w:szCs w:val="28"/>
              </w:rPr>
              <w:t>以及</w:t>
            </w:r>
            <w:r>
              <w:rPr>
                <w:rFonts w:eastAsia="方正仿宋_GBK"/>
                <w:sz w:val="28"/>
                <w:szCs w:val="28"/>
              </w:rPr>
              <w:t>相关专业经营单位</w:t>
            </w:r>
          </w:p>
        </w:tc>
      </w:tr>
      <w:tr>
        <w:tblPrEx>
          <w:tblCellMar>
            <w:top w:w="57" w:type="dxa"/>
            <w:left w:w="0" w:type="dxa"/>
            <w:bottom w:w="57" w:type="dxa"/>
            <w:right w:w="0" w:type="dxa"/>
          </w:tblCellMar>
        </w:tblPrEx>
        <w:trPr>
          <w:trHeight w:val="1021" w:hRule="atLeast"/>
          <w:jc w:val="center"/>
        </w:trPr>
        <w:tc>
          <w:tcPr>
            <w:tcW w:w="806" w:type="dxa"/>
            <w:tcBorders>
              <w:top w:val="nil"/>
              <w:left w:val="single" w:color="231F20" w:sz="8" w:space="0"/>
              <w:bottom w:val="single" w:color="231F20" w:sz="8" w:space="0"/>
              <w:right w:val="single" w:color="231F20" w:sz="8" w:space="0"/>
            </w:tcBorders>
            <w:noWrap/>
            <w:tcMar>
              <w:left w:w="108" w:type="dxa"/>
              <w:right w:w="108" w:type="dxa"/>
            </w:tcMar>
            <w:vAlign w:val="center"/>
          </w:tcPr>
          <w:p>
            <w:pPr>
              <w:pStyle w:val="4"/>
              <w:overflowPunct w:val="0"/>
              <w:topLinePunct/>
              <w:adjustRightInd w:val="0"/>
              <w:spacing w:before="0" w:beforeAutospacing="0" w:after="0" w:afterAutospacing="0" w:line="400" w:lineRule="exact"/>
              <w:jc w:val="center"/>
              <w:rPr>
                <w:rFonts w:eastAsia="方正仿宋_GBK"/>
                <w:sz w:val="28"/>
                <w:szCs w:val="28"/>
              </w:rPr>
            </w:pPr>
            <w:r>
              <w:rPr>
                <w:rFonts w:eastAsia="方正仿宋_GBK"/>
                <w:color w:val="000000"/>
                <w:sz w:val="28"/>
                <w:szCs w:val="28"/>
              </w:rPr>
              <w:t>6</w:t>
            </w:r>
          </w:p>
        </w:tc>
        <w:tc>
          <w:tcPr>
            <w:tcW w:w="2551" w:type="dxa"/>
            <w:tcBorders>
              <w:top w:val="nil"/>
              <w:left w:val="nil"/>
              <w:bottom w:val="single" w:color="231F20" w:sz="8" w:space="0"/>
              <w:right w:val="single" w:color="231F20" w:sz="8" w:space="0"/>
            </w:tcBorders>
            <w:noWrap w:val="0"/>
            <w:tcMar>
              <w:left w:w="108" w:type="dxa"/>
              <w:right w:w="108" w:type="dxa"/>
            </w:tcMar>
            <w:vAlign w:val="center"/>
          </w:tcPr>
          <w:p>
            <w:pPr>
              <w:pStyle w:val="4"/>
              <w:overflowPunct w:val="0"/>
              <w:topLinePunct/>
              <w:adjustRightInd w:val="0"/>
              <w:spacing w:before="0" w:beforeAutospacing="0" w:after="0" w:afterAutospacing="0" w:line="400" w:lineRule="exact"/>
              <w:jc w:val="both"/>
              <w:rPr>
                <w:rFonts w:hint="eastAsia" w:ascii="方正黑体_GBK" w:eastAsia="方正黑体_GBK"/>
                <w:sz w:val="28"/>
                <w:szCs w:val="28"/>
              </w:rPr>
            </w:pPr>
            <w:r>
              <w:rPr>
                <w:rFonts w:hint="eastAsia" w:ascii="方正黑体_GBK" w:eastAsia="方正黑体_GBK"/>
                <w:sz w:val="28"/>
                <w:szCs w:val="28"/>
              </w:rPr>
              <w:t>加强项目建设管理</w:t>
            </w:r>
          </w:p>
        </w:tc>
        <w:tc>
          <w:tcPr>
            <w:tcW w:w="5510" w:type="dxa"/>
            <w:tcBorders>
              <w:top w:val="nil"/>
              <w:left w:val="nil"/>
              <w:bottom w:val="single" w:color="231F20" w:sz="8" w:space="0"/>
              <w:right w:val="single" w:color="231F20" w:sz="8" w:space="0"/>
            </w:tcBorders>
            <w:noWrap w:val="0"/>
            <w:tcMar>
              <w:left w:w="108" w:type="dxa"/>
              <w:right w:w="108" w:type="dxa"/>
            </w:tcMar>
            <w:vAlign w:val="center"/>
          </w:tcPr>
          <w:p>
            <w:pPr>
              <w:pStyle w:val="4"/>
              <w:overflowPunct w:val="0"/>
              <w:topLinePunct/>
              <w:adjustRightInd w:val="0"/>
              <w:spacing w:before="0" w:beforeAutospacing="0" w:after="0" w:afterAutospacing="0" w:line="400" w:lineRule="exact"/>
              <w:jc w:val="both"/>
              <w:rPr>
                <w:rFonts w:eastAsia="方正仿宋_GBK"/>
                <w:sz w:val="28"/>
                <w:szCs w:val="28"/>
              </w:rPr>
            </w:pPr>
            <w:r>
              <w:rPr>
                <w:rFonts w:eastAsia="方正仿宋_GBK"/>
                <w:sz w:val="28"/>
                <w:szCs w:val="28"/>
              </w:rPr>
              <w:t>市住房城乡建设局，市消防救援支队、市市场监管局、市人防办</w:t>
            </w:r>
            <w:r>
              <w:rPr>
                <w:rFonts w:hint="eastAsia" w:eastAsia="方正仿宋_GBK"/>
                <w:sz w:val="28"/>
                <w:szCs w:val="28"/>
              </w:rPr>
              <w:t>以及</w:t>
            </w:r>
            <w:r>
              <w:rPr>
                <w:rFonts w:eastAsia="方正仿宋_GBK"/>
                <w:sz w:val="28"/>
                <w:szCs w:val="28"/>
              </w:rPr>
              <w:t>相关专业经营单位</w:t>
            </w:r>
          </w:p>
        </w:tc>
      </w:tr>
      <w:tr>
        <w:tblPrEx>
          <w:tblCellMar>
            <w:top w:w="57" w:type="dxa"/>
            <w:left w:w="0" w:type="dxa"/>
            <w:bottom w:w="57" w:type="dxa"/>
            <w:right w:w="0" w:type="dxa"/>
          </w:tblCellMar>
        </w:tblPrEx>
        <w:trPr>
          <w:trHeight w:val="1021" w:hRule="atLeast"/>
          <w:jc w:val="center"/>
        </w:trPr>
        <w:tc>
          <w:tcPr>
            <w:tcW w:w="806" w:type="dxa"/>
            <w:tcBorders>
              <w:top w:val="nil"/>
              <w:left w:val="single" w:color="231F20" w:sz="8" w:space="0"/>
              <w:bottom w:val="single" w:color="231F20" w:sz="8" w:space="0"/>
              <w:right w:val="single" w:color="231F20" w:sz="8" w:space="0"/>
            </w:tcBorders>
            <w:noWrap/>
            <w:tcMar>
              <w:left w:w="108" w:type="dxa"/>
              <w:right w:w="108" w:type="dxa"/>
            </w:tcMar>
            <w:vAlign w:val="center"/>
          </w:tcPr>
          <w:p>
            <w:pPr>
              <w:pStyle w:val="4"/>
              <w:overflowPunct w:val="0"/>
              <w:topLinePunct/>
              <w:adjustRightInd w:val="0"/>
              <w:spacing w:before="0" w:beforeAutospacing="0" w:after="0" w:afterAutospacing="0" w:line="400" w:lineRule="exact"/>
              <w:jc w:val="center"/>
              <w:rPr>
                <w:rFonts w:eastAsia="方正仿宋_GBK"/>
                <w:sz w:val="28"/>
                <w:szCs w:val="28"/>
              </w:rPr>
            </w:pPr>
            <w:r>
              <w:rPr>
                <w:rFonts w:eastAsia="方正仿宋_GBK"/>
                <w:color w:val="000000"/>
                <w:sz w:val="28"/>
                <w:szCs w:val="28"/>
              </w:rPr>
              <w:t>7</w:t>
            </w:r>
          </w:p>
        </w:tc>
        <w:tc>
          <w:tcPr>
            <w:tcW w:w="2551" w:type="dxa"/>
            <w:tcBorders>
              <w:top w:val="nil"/>
              <w:left w:val="nil"/>
              <w:bottom w:val="single" w:color="231F20" w:sz="8" w:space="0"/>
              <w:right w:val="single" w:color="231F20" w:sz="8" w:space="0"/>
            </w:tcBorders>
            <w:noWrap w:val="0"/>
            <w:tcMar>
              <w:left w:w="108" w:type="dxa"/>
              <w:right w:w="108" w:type="dxa"/>
            </w:tcMar>
            <w:vAlign w:val="center"/>
          </w:tcPr>
          <w:p>
            <w:pPr>
              <w:pStyle w:val="4"/>
              <w:overflowPunct w:val="0"/>
              <w:topLinePunct/>
              <w:adjustRightInd w:val="0"/>
              <w:spacing w:before="0" w:beforeAutospacing="0" w:after="0" w:afterAutospacing="0" w:line="400" w:lineRule="exact"/>
              <w:jc w:val="both"/>
              <w:rPr>
                <w:rFonts w:hint="eastAsia" w:ascii="方正黑体_GBK" w:eastAsia="方正黑体_GBK"/>
                <w:sz w:val="28"/>
                <w:szCs w:val="28"/>
              </w:rPr>
            </w:pPr>
            <w:r>
              <w:rPr>
                <w:rFonts w:hint="eastAsia" w:ascii="方正黑体_GBK" w:eastAsia="方正黑体_GBK"/>
                <w:sz w:val="28"/>
                <w:szCs w:val="28"/>
              </w:rPr>
              <w:t>开展危险房屋整治</w:t>
            </w:r>
          </w:p>
        </w:tc>
        <w:tc>
          <w:tcPr>
            <w:tcW w:w="5510" w:type="dxa"/>
            <w:tcBorders>
              <w:top w:val="nil"/>
              <w:left w:val="nil"/>
              <w:bottom w:val="single" w:color="231F20" w:sz="8" w:space="0"/>
              <w:right w:val="single" w:color="231F20" w:sz="8" w:space="0"/>
            </w:tcBorders>
            <w:noWrap w:val="0"/>
            <w:tcMar>
              <w:left w:w="108" w:type="dxa"/>
              <w:right w:w="108" w:type="dxa"/>
            </w:tcMar>
            <w:vAlign w:val="center"/>
          </w:tcPr>
          <w:p>
            <w:pPr>
              <w:pStyle w:val="4"/>
              <w:overflowPunct w:val="0"/>
              <w:topLinePunct/>
              <w:adjustRightInd w:val="0"/>
              <w:spacing w:before="0" w:beforeAutospacing="0" w:after="0" w:afterAutospacing="0" w:line="400" w:lineRule="exact"/>
              <w:jc w:val="both"/>
              <w:rPr>
                <w:rFonts w:eastAsia="方正仿宋_GBK"/>
                <w:sz w:val="28"/>
                <w:szCs w:val="28"/>
              </w:rPr>
            </w:pPr>
            <w:r>
              <w:rPr>
                <w:rFonts w:eastAsia="方正仿宋_GBK"/>
                <w:sz w:val="28"/>
                <w:szCs w:val="28"/>
              </w:rPr>
              <w:t>市住房城乡建设局、市房管中心，市应急局、市自然资源局、市城管局、市消防救援支队</w:t>
            </w:r>
          </w:p>
        </w:tc>
      </w:tr>
      <w:tr>
        <w:tblPrEx>
          <w:tblCellMar>
            <w:top w:w="57" w:type="dxa"/>
            <w:left w:w="0" w:type="dxa"/>
            <w:bottom w:w="57" w:type="dxa"/>
            <w:right w:w="0" w:type="dxa"/>
          </w:tblCellMar>
        </w:tblPrEx>
        <w:trPr>
          <w:trHeight w:val="1041" w:hRule="atLeast"/>
          <w:jc w:val="center"/>
        </w:trPr>
        <w:tc>
          <w:tcPr>
            <w:tcW w:w="806" w:type="dxa"/>
            <w:tcBorders>
              <w:top w:val="nil"/>
              <w:left w:val="single" w:color="231F20" w:sz="8" w:space="0"/>
              <w:bottom w:val="single" w:color="231F20" w:sz="8" w:space="0"/>
              <w:right w:val="single" w:color="231F20" w:sz="8" w:space="0"/>
            </w:tcBorders>
            <w:noWrap/>
            <w:tcMar>
              <w:left w:w="108" w:type="dxa"/>
              <w:right w:w="108" w:type="dxa"/>
            </w:tcMar>
            <w:vAlign w:val="center"/>
          </w:tcPr>
          <w:p>
            <w:pPr>
              <w:pStyle w:val="4"/>
              <w:overflowPunct w:val="0"/>
              <w:topLinePunct/>
              <w:adjustRightInd w:val="0"/>
              <w:spacing w:before="0" w:beforeAutospacing="0" w:after="0" w:afterAutospacing="0" w:line="400" w:lineRule="exact"/>
              <w:jc w:val="center"/>
              <w:rPr>
                <w:rFonts w:eastAsia="方正仿宋_GBK"/>
                <w:sz w:val="28"/>
                <w:szCs w:val="28"/>
              </w:rPr>
            </w:pPr>
            <w:r>
              <w:rPr>
                <w:rFonts w:eastAsia="方正仿宋_GBK"/>
                <w:color w:val="000000"/>
                <w:sz w:val="28"/>
                <w:szCs w:val="28"/>
              </w:rPr>
              <w:t>8</w:t>
            </w:r>
          </w:p>
        </w:tc>
        <w:tc>
          <w:tcPr>
            <w:tcW w:w="2551" w:type="dxa"/>
            <w:tcBorders>
              <w:top w:val="nil"/>
              <w:left w:val="nil"/>
              <w:bottom w:val="single" w:color="231F20" w:sz="8" w:space="0"/>
              <w:right w:val="single" w:color="231F20" w:sz="8" w:space="0"/>
            </w:tcBorders>
            <w:noWrap w:val="0"/>
            <w:tcMar>
              <w:left w:w="108" w:type="dxa"/>
              <w:right w:w="108" w:type="dxa"/>
            </w:tcMar>
            <w:vAlign w:val="center"/>
          </w:tcPr>
          <w:p>
            <w:pPr>
              <w:pStyle w:val="4"/>
              <w:overflowPunct w:val="0"/>
              <w:topLinePunct/>
              <w:adjustRightInd w:val="0"/>
              <w:spacing w:before="0" w:beforeAutospacing="0" w:after="0" w:afterAutospacing="0" w:line="400" w:lineRule="exact"/>
              <w:jc w:val="both"/>
              <w:rPr>
                <w:rFonts w:hint="eastAsia" w:ascii="方正黑体_GBK" w:eastAsia="方正黑体_GBK"/>
                <w:sz w:val="28"/>
                <w:szCs w:val="28"/>
              </w:rPr>
            </w:pPr>
            <w:r>
              <w:rPr>
                <w:rFonts w:hint="eastAsia" w:ascii="方正黑体_GBK" w:eastAsia="方正黑体_GBK"/>
                <w:sz w:val="28"/>
                <w:szCs w:val="28"/>
              </w:rPr>
              <w:t>坚持改造与管理同步提升</w:t>
            </w:r>
          </w:p>
        </w:tc>
        <w:tc>
          <w:tcPr>
            <w:tcW w:w="5510" w:type="dxa"/>
            <w:tcBorders>
              <w:top w:val="nil"/>
              <w:left w:val="nil"/>
              <w:bottom w:val="single" w:color="231F20" w:sz="8" w:space="0"/>
              <w:right w:val="single" w:color="231F20" w:sz="8" w:space="0"/>
            </w:tcBorders>
            <w:noWrap w:val="0"/>
            <w:tcMar>
              <w:left w:w="108" w:type="dxa"/>
              <w:right w:w="108" w:type="dxa"/>
            </w:tcMar>
            <w:vAlign w:val="center"/>
          </w:tcPr>
          <w:p>
            <w:pPr>
              <w:pStyle w:val="4"/>
              <w:overflowPunct w:val="0"/>
              <w:topLinePunct/>
              <w:adjustRightInd w:val="0"/>
              <w:spacing w:before="0" w:beforeAutospacing="0" w:after="0" w:afterAutospacing="0" w:line="400" w:lineRule="exact"/>
              <w:jc w:val="both"/>
              <w:rPr>
                <w:rFonts w:eastAsia="方正仿宋_GBK"/>
                <w:sz w:val="28"/>
                <w:szCs w:val="28"/>
              </w:rPr>
            </w:pPr>
            <w:r>
              <w:rPr>
                <w:rFonts w:eastAsia="方正仿宋_GBK"/>
                <w:sz w:val="28"/>
                <w:szCs w:val="28"/>
              </w:rPr>
              <w:t>市住房城乡建设局、市民政局，市公安局、市市场监管局</w:t>
            </w:r>
          </w:p>
        </w:tc>
      </w:tr>
      <w:tr>
        <w:tblPrEx>
          <w:tblCellMar>
            <w:top w:w="57" w:type="dxa"/>
            <w:left w:w="0" w:type="dxa"/>
            <w:bottom w:w="57" w:type="dxa"/>
            <w:right w:w="0" w:type="dxa"/>
          </w:tblCellMar>
        </w:tblPrEx>
        <w:trPr>
          <w:trHeight w:val="680" w:hRule="atLeast"/>
          <w:jc w:val="center"/>
        </w:trPr>
        <w:tc>
          <w:tcPr>
            <w:tcW w:w="806" w:type="dxa"/>
            <w:tcBorders>
              <w:top w:val="nil"/>
              <w:left w:val="single" w:color="231F20" w:sz="8" w:space="0"/>
              <w:bottom w:val="single" w:color="231F20" w:sz="8" w:space="0"/>
              <w:right w:val="single" w:color="231F20" w:sz="8" w:space="0"/>
            </w:tcBorders>
            <w:noWrap/>
            <w:tcMar>
              <w:left w:w="108" w:type="dxa"/>
              <w:right w:w="108" w:type="dxa"/>
            </w:tcMar>
            <w:vAlign w:val="center"/>
          </w:tcPr>
          <w:p>
            <w:pPr>
              <w:pStyle w:val="4"/>
              <w:overflowPunct w:val="0"/>
              <w:topLinePunct/>
              <w:adjustRightInd w:val="0"/>
              <w:spacing w:before="0" w:beforeAutospacing="0" w:after="0" w:afterAutospacing="0" w:line="400" w:lineRule="exact"/>
              <w:jc w:val="center"/>
              <w:rPr>
                <w:rFonts w:eastAsia="方正仿宋_GBK"/>
                <w:sz w:val="28"/>
                <w:szCs w:val="28"/>
              </w:rPr>
            </w:pPr>
            <w:r>
              <w:rPr>
                <w:rFonts w:eastAsia="方正仿宋_GBK"/>
                <w:color w:val="000000"/>
                <w:sz w:val="28"/>
                <w:szCs w:val="28"/>
              </w:rPr>
              <w:t>9</w:t>
            </w:r>
          </w:p>
        </w:tc>
        <w:tc>
          <w:tcPr>
            <w:tcW w:w="2551" w:type="dxa"/>
            <w:tcBorders>
              <w:top w:val="nil"/>
              <w:left w:val="nil"/>
              <w:bottom w:val="single" w:color="231F20" w:sz="8" w:space="0"/>
              <w:right w:val="single" w:color="231F20" w:sz="8" w:space="0"/>
            </w:tcBorders>
            <w:noWrap w:val="0"/>
            <w:tcMar>
              <w:left w:w="108" w:type="dxa"/>
              <w:right w:w="108" w:type="dxa"/>
            </w:tcMar>
            <w:vAlign w:val="center"/>
          </w:tcPr>
          <w:p>
            <w:pPr>
              <w:pStyle w:val="4"/>
              <w:overflowPunct w:val="0"/>
              <w:topLinePunct/>
              <w:adjustRightInd w:val="0"/>
              <w:spacing w:before="0" w:beforeAutospacing="0" w:after="0" w:afterAutospacing="0" w:line="400" w:lineRule="exact"/>
              <w:jc w:val="both"/>
              <w:rPr>
                <w:rFonts w:hint="eastAsia" w:ascii="方正黑体_GBK" w:eastAsia="方正黑体_GBK"/>
                <w:sz w:val="28"/>
                <w:szCs w:val="28"/>
              </w:rPr>
            </w:pPr>
            <w:r>
              <w:rPr>
                <w:rFonts w:hint="eastAsia" w:ascii="方正黑体_GBK" w:eastAsia="方正黑体_GBK"/>
                <w:sz w:val="28"/>
                <w:szCs w:val="28"/>
              </w:rPr>
              <w:t>实施连片改造</w:t>
            </w:r>
          </w:p>
        </w:tc>
        <w:tc>
          <w:tcPr>
            <w:tcW w:w="5510" w:type="dxa"/>
            <w:tcBorders>
              <w:top w:val="nil"/>
              <w:left w:val="nil"/>
              <w:bottom w:val="single" w:color="231F20" w:sz="8" w:space="0"/>
              <w:right w:val="single" w:color="231F20" w:sz="8" w:space="0"/>
            </w:tcBorders>
            <w:noWrap w:val="0"/>
            <w:tcMar>
              <w:left w:w="108" w:type="dxa"/>
              <w:right w:w="108" w:type="dxa"/>
            </w:tcMar>
            <w:vAlign w:val="center"/>
          </w:tcPr>
          <w:p>
            <w:pPr>
              <w:pStyle w:val="4"/>
              <w:overflowPunct w:val="0"/>
              <w:topLinePunct/>
              <w:adjustRightInd w:val="0"/>
              <w:spacing w:before="0" w:beforeAutospacing="0" w:after="0" w:afterAutospacing="0" w:line="400" w:lineRule="exact"/>
              <w:jc w:val="both"/>
              <w:rPr>
                <w:rFonts w:eastAsia="方正仿宋_GBK"/>
                <w:sz w:val="28"/>
                <w:szCs w:val="28"/>
              </w:rPr>
            </w:pPr>
            <w:r>
              <w:rPr>
                <w:rFonts w:eastAsia="方正仿宋_GBK"/>
                <w:sz w:val="28"/>
                <w:szCs w:val="28"/>
              </w:rPr>
              <w:t>市住房城乡建设局、市自然资源局、市发展改革委、市财政局，市民政局、市</w:t>
            </w:r>
            <w:r>
              <w:rPr>
                <w:rFonts w:hint="eastAsia" w:eastAsia="方正仿宋_GBK"/>
                <w:sz w:val="28"/>
                <w:szCs w:val="28"/>
              </w:rPr>
              <w:t>教育体育</w:t>
            </w:r>
            <w:r>
              <w:rPr>
                <w:rFonts w:eastAsia="方正仿宋_GBK"/>
                <w:sz w:val="28"/>
                <w:szCs w:val="28"/>
              </w:rPr>
              <w:t>局、市商务局、市文化和旅游局、市卫生健康委、市公安局、市城投集团、市消防救援支队</w:t>
            </w:r>
            <w:r>
              <w:rPr>
                <w:rFonts w:hint="eastAsia" w:eastAsia="方正仿宋_GBK"/>
                <w:sz w:val="28"/>
                <w:szCs w:val="28"/>
              </w:rPr>
              <w:t>以及</w:t>
            </w:r>
            <w:r>
              <w:rPr>
                <w:rFonts w:eastAsia="方正仿宋_GBK"/>
                <w:sz w:val="28"/>
                <w:szCs w:val="28"/>
              </w:rPr>
              <w:t>相关专业经营单位</w:t>
            </w:r>
          </w:p>
        </w:tc>
      </w:tr>
      <w:tr>
        <w:tblPrEx>
          <w:tblCellMar>
            <w:top w:w="57" w:type="dxa"/>
            <w:left w:w="0" w:type="dxa"/>
            <w:bottom w:w="57" w:type="dxa"/>
            <w:right w:w="0" w:type="dxa"/>
          </w:tblCellMar>
        </w:tblPrEx>
        <w:trPr>
          <w:trHeight w:val="680" w:hRule="atLeast"/>
          <w:jc w:val="center"/>
        </w:trPr>
        <w:tc>
          <w:tcPr>
            <w:tcW w:w="806" w:type="dxa"/>
            <w:tcBorders>
              <w:top w:val="nil"/>
              <w:left w:val="single" w:color="231F20" w:sz="8" w:space="0"/>
              <w:bottom w:val="single" w:color="231F20" w:sz="8" w:space="0"/>
              <w:right w:val="single" w:color="231F20" w:sz="8" w:space="0"/>
            </w:tcBorders>
            <w:noWrap/>
            <w:tcMar>
              <w:left w:w="108" w:type="dxa"/>
              <w:right w:w="108" w:type="dxa"/>
            </w:tcMar>
            <w:vAlign w:val="center"/>
          </w:tcPr>
          <w:p>
            <w:pPr>
              <w:pStyle w:val="4"/>
              <w:overflowPunct w:val="0"/>
              <w:topLinePunct/>
              <w:adjustRightInd w:val="0"/>
              <w:spacing w:before="0" w:beforeAutospacing="0" w:after="0" w:afterAutospacing="0" w:line="400" w:lineRule="exact"/>
              <w:jc w:val="center"/>
              <w:rPr>
                <w:rFonts w:eastAsia="方正仿宋_GBK"/>
                <w:sz w:val="28"/>
                <w:szCs w:val="28"/>
              </w:rPr>
            </w:pPr>
            <w:r>
              <w:rPr>
                <w:rFonts w:eastAsia="方正仿宋_GBK"/>
                <w:color w:val="000000"/>
                <w:sz w:val="28"/>
                <w:szCs w:val="28"/>
              </w:rPr>
              <w:t>10</w:t>
            </w:r>
          </w:p>
        </w:tc>
        <w:tc>
          <w:tcPr>
            <w:tcW w:w="2551" w:type="dxa"/>
            <w:tcBorders>
              <w:top w:val="nil"/>
              <w:left w:val="nil"/>
              <w:bottom w:val="single" w:color="231F20" w:sz="8" w:space="0"/>
              <w:right w:val="single" w:color="231F20" w:sz="8" w:space="0"/>
            </w:tcBorders>
            <w:noWrap w:val="0"/>
            <w:tcMar>
              <w:left w:w="108" w:type="dxa"/>
              <w:right w:w="108" w:type="dxa"/>
            </w:tcMar>
            <w:vAlign w:val="center"/>
          </w:tcPr>
          <w:p>
            <w:pPr>
              <w:pStyle w:val="4"/>
              <w:overflowPunct w:val="0"/>
              <w:topLinePunct/>
              <w:adjustRightInd w:val="0"/>
              <w:spacing w:before="0" w:beforeAutospacing="0" w:after="0" w:afterAutospacing="0" w:line="400" w:lineRule="exact"/>
              <w:jc w:val="both"/>
              <w:rPr>
                <w:rFonts w:hint="eastAsia" w:ascii="方正黑体_GBK" w:eastAsia="方正黑体_GBK"/>
                <w:sz w:val="28"/>
                <w:szCs w:val="28"/>
              </w:rPr>
            </w:pPr>
            <w:r>
              <w:rPr>
                <w:rFonts w:hint="eastAsia" w:ascii="方正黑体_GBK" w:eastAsia="方正黑体_GBK"/>
                <w:sz w:val="28"/>
                <w:szCs w:val="28"/>
              </w:rPr>
              <w:t>畅通资金供给渠道</w:t>
            </w:r>
          </w:p>
        </w:tc>
        <w:tc>
          <w:tcPr>
            <w:tcW w:w="5510" w:type="dxa"/>
            <w:tcBorders>
              <w:top w:val="nil"/>
              <w:left w:val="nil"/>
              <w:bottom w:val="single" w:color="231F20" w:sz="8" w:space="0"/>
              <w:right w:val="single" w:color="231F20" w:sz="8" w:space="0"/>
            </w:tcBorders>
            <w:noWrap w:val="0"/>
            <w:tcMar>
              <w:left w:w="108" w:type="dxa"/>
              <w:right w:w="108" w:type="dxa"/>
            </w:tcMar>
            <w:vAlign w:val="center"/>
          </w:tcPr>
          <w:p>
            <w:pPr>
              <w:pStyle w:val="4"/>
              <w:overflowPunct w:val="0"/>
              <w:topLinePunct/>
              <w:adjustRightInd w:val="0"/>
              <w:spacing w:before="0" w:beforeAutospacing="0" w:after="0" w:afterAutospacing="0" w:line="400" w:lineRule="exact"/>
              <w:jc w:val="both"/>
              <w:rPr>
                <w:rFonts w:eastAsia="方正仿宋_GBK"/>
                <w:sz w:val="28"/>
                <w:szCs w:val="28"/>
              </w:rPr>
            </w:pPr>
            <w:r>
              <w:rPr>
                <w:rFonts w:eastAsia="方正仿宋_GBK"/>
                <w:sz w:val="28"/>
                <w:szCs w:val="28"/>
              </w:rPr>
              <w:t>中国人民银行宿州</w:t>
            </w:r>
            <w:r>
              <w:rPr>
                <w:rFonts w:hint="eastAsia" w:eastAsia="方正仿宋_GBK"/>
                <w:sz w:val="28"/>
                <w:szCs w:val="28"/>
              </w:rPr>
              <w:t>市</w:t>
            </w:r>
            <w:r>
              <w:rPr>
                <w:rFonts w:eastAsia="方正仿宋_GBK"/>
                <w:sz w:val="28"/>
                <w:szCs w:val="28"/>
              </w:rPr>
              <w:t>中心支行、市财政局、市发展改革委、市住房城乡建设局、市城投集团</w:t>
            </w:r>
            <w:r>
              <w:rPr>
                <w:rFonts w:hint="eastAsia" w:eastAsia="方正仿宋_GBK"/>
                <w:sz w:val="28"/>
                <w:szCs w:val="28"/>
              </w:rPr>
              <w:t>以及</w:t>
            </w:r>
            <w:r>
              <w:rPr>
                <w:rFonts w:eastAsia="方正仿宋_GBK"/>
                <w:sz w:val="28"/>
                <w:szCs w:val="28"/>
              </w:rPr>
              <w:t>相关专业经营单位，宿州银保监分局、市</w:t>
            </w:r>
            <w:r>
              <w:rPr>
                <w:rFonts w:hint="eastAsia" w:eastAsia="方正仿宋_GBK"/>
                <w:sz w:val="28"/>
                <w:szCs w:val="28"/>
              </w:rPr>
              <w:t>地方</w:t>
            </w:r>
            <w:r>
              <w:rPr>
                <w:rFonts w:eastAsia="方正仿宋_GBK"/>
                <w:sz w:val="28"/>
                <w:szCs w:val="28"/>
              </w:rPr>
              <w:t>金融监管局</w:t>
            </w:r>
          </w:p>
        </w:tc>
      </w:tr>
      <w:tr>
        <w:tblPrEx>
          <w:tblCellMar>
            <w:top w:w="57" w:type="dxa"/>
            <w:left w:w="0" w:type="dxa"/>
            <w:bottom w:w="57" w:type="dxa"/>
            <w:right w:w="0" w:type="dxa"/>
          </w:tblCellMar>
        </w:tblPrEx>
        <w:trPr>
          <w:trHeight w:val="1108" w:hRule="atLeast"/>
          <w:jc w:val="center"/>
        </w:trPr>
        <w:tc>
          <w:tcPr>
            <w:tcW w:w="806" w:type="dxa"/>
            <w:tcBorders>
              <w:top w:val="nil"/>
              <w:left w:val="single" w:color="231F20" w:sz="8" w:space="0"/>
              <w:bottom w:val="single" w:color="231F20" w:sz="8" w:space="0"/>
              <w:right w:val="single" w:color="231F20" w:sz="8" w:space="0"/>
            </w:tcBorders>
            <w:noWrap/>
            <w:tcMar>
              <w:left w:w="108" w:type="dxa"/>
              <w:right w:w="108" w:type="dxa"/>
            </w:tcMar>
            <w:vAlign w:val="center"/>
          </w:tcPr>
          <w:p>
            <w:pPr>
              <w:pStyle w:val="4"/>
              <w:overflowPunct w:val="0"/>
              <w:topLinePunct/>
              <w:adjustRightInd w:val="0"/>
              <w:spacing w:before="0" w:beforeAutospacing="0" w:after="0" w:afterAutospacing="0" w:line="400" w:lineRule="exact"/>
              <w:jc w:val="center"/>
              <w:rPr>
                <w:rFonts w:eastAsia="方正仿宋_GBK"/>
                <w:sz w:val="28"/>
                <w:szCs w:val="28"/>
              </w:rPr>
            </w:pPr>
            <w:r>
              <w:rPr>
                <w:rFonts w:eastAsia="方正仿宋_GBK"/>
                <w:color w:val="000000"/>
                <w:sz w:val="28"/>
                <w:szCs w:val="28"/>
              </w:rPr>
              <w:t>11</w:t>
            </w:r>
          </w:p>
        </w:tc>
        <w:tc>
          <w:tcPr>
            <w:tcW w:w="2551" w:type="dxa"/>
            <w:tcBorders>
              <w:top w:val="nil"/>
              <w:left w:val="nil"/>
              <w:bottom w:val="single" w:color="231F20" w:sz="8" w:space="0"/>
              <w:right w:val="single" w:color="231F20" w:sz="8" w:space="0"/>
            </w:tcBorders>
            <w:noWrap w:val="0"/>
            <w:tcMar>
              <w:left w:w="108" w:type="dxa"/>
              <w:right w:w="108" w:type="dxa"/>
            </w:tcMar>
            <w:vAlign w:val="center"/>
          </w:tcPr>
          <w:p>
            <w:pPr>
              <w:pStyle w:val="4"/>
              <w:overflowPunct w:val="0"/>
              <w:topLinePunct/>
              <w:adjustRightInd w:val="0"/>
              <w:spacing w:before="0" w:beforeAutospacing="0" w:after="0" w:afterAutospacing="0" w:line="400" w:lineRule="exact"/>
              <w:jc w:val="both"/>
              <w:rPr>
                <w:rFonts w:hint="eastAsia" w:ascii="方正黑体_GBK" w:eastAsia="方正黑体_GBK"/>
                <w:sz w:val="28"/>
                <w:szCs w:val="28"/>
              </w:rPr>
            </w:pPr>
            <w:r>
              <w:rPr>
                <w:rFonts w:hint="eastAsia" w:ascii="方正黑体_GBK" w:eastAsia="方正黑体_GBK"/>
                <w:sz w:val="28"/>
                <w:szCs w:val="28"/>
              </w:rPr>
              <w:t>拓展物业专项维修资金筹措渠道</w:t>
            </w:r>
          </w:p>
        </w:tc>
        <w:tc>
          <w:tcPr>
            <w:tcW w:w="5510" w:type="dxa"/>
            <w:tcBorders>
              <w:top w:val="nil"/>
              <w:left w:val="nil"/>
              <w:bottom w:val="single" w:color="231F20" w:sz="8" w:space="0"/>
              <w:right w:val="single" w:color="231F20" w:sz="8" w:space="0"/>
            </w:tcBorders>
            <w:noWrap w:val="0"/>
            <w:tcMar>
              <w:left w:w="108" w:type="dxa"/>
              <w:right w:w="108" w:type="dxa"/>
            </w:tcMar>
            <w:vAlign w:val="center"/>
          </w:tcPr>
          <w:p>
            <w:pPr>
              <w:pStyle w:val="4"/>
              <w:overflowPunct w:val="0"/>
              <w:topLinePunct/>
              <w:adjustRightInd w:val="0"/>
              <w:spacing w:before="0" w:beforeAutospacing="0" w:after="0" w:afterAutospacing="0" w:line="400" w:lineRule="exact"/>
              <w:jc w:val="both"/>
              <w:rPr>
                <w:rFonts w:eastAsia="方正仿宋_GBK"/>
                <w:sz w:val="28"/>
                <w:szCs w:val="28"/>
              </w:rPr>
            </w:pPr>
            <w:r>
              <w:rPr>
                <w:rFonts w:eastAsia="方正仿宋_GBK"/>
                <w:sz w:val="28"/>
                <w:szCs w:val="28"/>
              </w:rPr>
              <w:t>市房管中心、市司法局、市财政局</w:t>
            </w:r>
          </w:p>
        </w:tc>
      </w:tr>
      <w:tr>
        <w:tblPrEx>
          <w:tblCellMar>
            <w:top w:w="57" w:type="dxa"/>
            <w:left w:w="0" w:type="dxa"/>
            <w:bottom w:w="57" w:type="dxa"/>
            <w:right w:w="0" w:type="dxa"/>
          </w:tblCellMar>
        </w:tblPrEx>
        <w:trPr>
          <w:trHeight w:val="680" w:hRule="atLeast"/>
          <w:jc w:val="center"/>
        </w:trPr>
        <w:tc>
          <w:tcPr>
            <w:tcW w:w="806" w:type="dxa"/>
            <w:tcBorders>
              <w:top w:val="nil"/>
              <w:left w:val="single" w:color="231F20" w:sz="8" w:space="0"/>
              <w:bottom w:val="single" w:color="231F20" w:sz="8" w:space="0"/>
              <w:right w:val="single" w:color="231F20" w:sz="8" w:space="0"/>
            </w:tcBorders>
            <w:noWrap/>
            <w:tcMar>
              <w:left w:w="108" w:type="dxa"/>
              <w:right w:w="108" w:type="dxa"/>
            </w:tcMar>
            <w:vAlign w:val="center"/>
          </w:tcPr>
          <w:p>
            <w:pPr>
              <w:pStyle w:val="4"/>
              <w:overflowPunct w:val="0"/>
              <w:topLinePunct/>
              <w:adjustRightInd w:val="0"/>
              <w:spacing w:before="0" w:beforeAutospacing="0" w:after="0" w:afterAutospacing="0" w:line="400" w:lineRule="exact"/>
              <w:jc w:val="center"/>
              <w:rPr>
                <w:rFonts w:eastAsia="方正仿宋_GBK"/>
                <w:sz w:val="28"/>
                <w:szCs w:val="28"/>
              </w:rPr>
            </w:pPr>
            <w:r>
              <w:rPr>
                <w:rFonts w:eastAsia="方正仿宋_GBK"/>
                <w:color w:val="000000"/>
                <w:sz w:val="28"/>
                <w:szCs w:val="28"/>
              </w:rPr>
              <w:t>12</w:t>
            </w:r>
          </w:p>
        </w:tc>
        <w:tc>
          <w:tcPr>
            <w:tcW w:w="2551" w:type="dxa"/>
            <w:tcBorders>
              <w:top w:val="nil"/>
              <w:left w:val="nil"/>
              <w:bottom w:val="single" w:color="231F20" w:sz="8" w:space="0"/>
              <w:right w:val="single" w:color="231F20" w:sz="8" w:space="0"/>
            </w:tcBorders>
            <w:noWrap w:val="0"/>
            <w:tcMar>
              <w:left w:w="108" w:type="dxa"/>
              <w:right w:w="108" w:type="dxa"/>
            </w:tcMar>
            <w:vAlign w:val="center"/>
          </w:tcPr>
          <w:p>
            <w:pPr>
              <w:pStyle w:val="4"/>
              <w:overflowPunct w:val="0"/>
              <w:topLinePunct/>
              <w:adjustRightInd w:val="0"/>
              <w:spacing w:before="0" w:beforeAutospacing="0" w:after="0" w:afterAutospacing="0" w:line="400" w:lineRule="exact"/>
              <w:jc w:val="both"/>
              <w:rPr>
                <w:rFonts w:hint="eastAsia" w:ascii="方正黑体_GBK" w:eastAsia="方正黑体_GBK"/>
                <w:sz w:val="28"/>
                <w:szCs w:val="28"/>
              </w:rPr>
            </w:pPr>
            <w:r>
              <w:rPr>
                <w:rFonts w:hint="eastAsia" w:ascii="方正黑体_GBK" w:eastAsia="方正黑体_GBK"/>
                <w:sz w:val="28"/>
                <w:szCs w:val="28"/>
              </w:rPr>
              <w:t>组织保障</w:t>
            </w:r>
          </w:p>
        </w:tc>
        <w:tc>
          <w:tcPr>
            <w:tcW w:w="5510" w:type="dxa"/>
            <w:tcBorders>
              <w:top w:val="nil"/>
              <w:left w:val="nil"/>
              <w:bottom w:val="single" w:color="231F20" w:sz="8" w:space="0"/>
              <w:right w:val="single" w:color="231F20" w:sz="8" w:space="0"/>
            </w:tcBorders>
            <w:noWrap w:val="0"/>
            <w:tcMar>
              <w:left w:w="108" w:type="dxa"/>
              <w:right w:w="108" w:type="dxa"/>
            </w:tcMar>
            <w:vAlign w:val="center"/>
          </w:tcPr>
          <w:p>
            <w:pPr>
              <w:pStyle w:val="4"/>
              <w:overflowPunct w:val="0"/>
              <w:topLinePunct/>
              <w:adjustRightInd w:val="0"/>
              <w:spacing w:before="0" w:beforeAutospacing="0" w:after="0" w:afterAutospacing="0" w:line="400" w:lineRule="exact"/>
              <w:jc w:val="both"/>
              <w:rPr>
                <w:rFonts w:eastAsia="方正仿宋_GBK"/>
                <w:sz w:val="28"/>
                <w:szCs w:val="28"/>
              </w:rPr>
            </w:pPr>
            <w:r>
              <w:rPr>
                <w:rFonts w:eastAsia="方正仿宋_GBK"/>
                <w:sz w:val="28"/>
                <w:szCs w:val="28"/>
              </w:rPr>
              <w:t>市住房城乡建设局、市发展改革委、市财政局，市民政局、</w:t>
            </w:r>
            <w:r>
              <w:rPr>
                <w:rFonts w:hint="eastAsia" w:eastAsia="方正仿宋_GBK"/>
                <w:sz w:val="28"/>
                <w:szCs w:val="28"/>
              </w:rPr>
              <w:t>市教育体育</w:t>
            </w:r>
            <w:r>
              <w:rPr>
                <w:rFonts w:eastAsia="方正仿宋_GBK"/>
                <w:sz w:val="28"/>
                <w:szCs w:val="28"/>
              </w:rPr>
              <w:t>局、市自然资源局、市文化和旅游局、市卫生健康委、市公安局、市消防救援支队、市市场监管局、市商务局、市邮政管理局、市</w:t>
            </w:r>
            <w:r>
              <w:rPr>
                <w:rFonts w:hint="eastAsia" w:eastAsia="方正仿宋_GBK"/>
                <w:sz w:val="28"/>
                <w:szCs w:val="28"/>
              </w:rPr>
              <w:t>经济和信息化</w:t>
            </w:r>
            <w:r>
              <w:rPr>
                <w:rFonts w:eastAsia="方正仿宋_GBK"/>
                <w:sz w:val="28"/>
                <w:szCs w:val="28"/>
              </w:rPr>
              <w:t>局</w:t>
            </w:r>
            <w:r>
              <w:rPr>
                <w:rFonts w:hint="eastAsia" w:eastAsia="方正仿宋_GBK"/>
                <w:sz w:val="28"/>
                <w:szCs w:val="28"/>
              </w:rPr>
              <w:t>以及</w:t>
            </w:r>
            <w:r>
              <w:rPr>
                <w:rFonts w:eastAsia="方正仿宋_GBK"/>
                <w:sz w:val="28"/>
                <w:szCs w:val="28"/>
              </w:rPr>
              <w:t>相关专业经营单位</w:t>
            </w:r>
          </w:p>
        </w:tc>
      </w:tr>
      <w:tr>
        <w:tblPrEx>
          <w:tblCellMar>
            <w:top w:w="57" w:type="dxa"/>
            <w:left w:w="0" w:type="dxa"/>
            <w:bottom w:w="57" w:type="dxa"/>
            <w:right w:w="0" w:type="dxa"/>
          </w:tblCellMar>
        </w:tblPrEx>
        <w:trPr>
          <w:trHeight w:val="974" w:hRule="atLeast"/>
          <w:jc w:val="center"/>
        </w:trPr>
        <w:tc>
          <w:tcPr>
            <w:tcW w:w="806" w:type="dxa"/>
            <w:tcBorders>
              <w:top w:val="nil"/>
              <w:left w:val="single" w:color="231F20" w:sz="8" w:space="0"/>
              <w:bottom w:val="single" w:color="231F20" w:sz="8" w:space="0"/>
              <w:right w:val="single" w:color="231F20" w:sz="8" w:space="0"/>
            </w:tcBorders>
            <w:noWrap/>
            <w:tcMar>
              <w:left w:w="108" w:type="dxa"/>
              <w:right w:w="108" w:type="dxa"/>
            </w:tcMar>
            <w:vAlign w:val="center"/>
          </w:tcPr>
          <w:p>
            <w:pPr>
              <w:pStyle w:val="4"/>
              <w:overflowPunct w:val="0"/>
              <w:topLinePunct/>
              <w:adjustRightInd w:val="0"/>
              <w:spacing w:before="0" w:beforeAutospacing="0" w:after="0" w:afterAutospacing="0" w:line="400" w:lineRule="exact"/>
              <w:jc w:val="center"/>
              <w:rPr>
                <w:rFonts w:eastAsia="方正仿宋_GBK"/>
                <w:sz w:val="28"/>
                <w:szCs w:val="28"/>
              </w:rPr>
            </w:pPr>
            <w:r>
              <w:rPr>
                <w:rFonts w:eastAsia="方正仿宋_GBK"/>
                <w:color w:val="000000"/>
                <w:sz w:val="28"/>
                <w:szCs w:val="28"/>
              </w:rPr>
              <w:t>13</w:t>
            </w:r>
          </w:p>
        </w:tc>
        <w:tc>
          <w:tcPr>
            <w:tcW w:w="2551" w:type="dxa"/>
            <w:tcBorders>
              <w:top w:val="nil"/>
              <w:left w:val="nil"/>
              <w:bottom w:val="single" w:color="231F20" w:sz="8" w:space="0"/>
              <w:right w:val="single" w:color="231F20" w:sz="8" w:space="0"/>
            </w:tcBorders>
            <w:noWrap w:val="0"/>
            <w:tcMar>
              <w:left w:w="108" w:type="dxa"/>
              <w:right w:w="108" w:type="dxa"/>
            </w:tcMar>
            <w:vAlign w:val="center"/>
          </w:tcPr>
          <w:p>
            <w:pPr>
              <w:pStyle w:val="4"/>
              <w:overflowPunct w:val="0"/>
              <w:topLinePunct/>
              <w:adjustRightInd w:val="0"/>
              <w:spacing w:before="0" w:beforeAutospacing="0" w:after="0" w:afterAutospacing="0" w:line="400" w:lineRule="exact"/>
              <w:jc w:val="both"/>
              <w:rPr>
                <w:rFonts w:hint="eastAsia" w:ascii="方正黑体_GBK" w:eastAsia="方正黑体_GBK"/>
                <w:sz w:val="28"/>
                <w:szCs w:val="28"/>
              </w:rPr>
            </w:pPr>
            <w:r>
              <w:rPr>
                <w:rFonts w:hint="eastAsia" w:ascii="方正黑体_GBK" w:eastAsia="方正黑体_GBK"/>
                <w:sz w:val="28"/>
                <w:szCs w:val="28"/>
              </w:rPr>
              <w:t>统筹规划</w:t>
            </w:r>
          </w:p>
        </w:tc>
        <w:tc>
          <w:tcPr>
            <w:tcW w:w="5510" w:type="dxa"/>
            <w:tcBorders>
              <w:top w:val="nil"/>
              <w:left w:val="nil"/>
              <w:bottom w:val="single" w:color="231F20" w:sz="8" w:space="0"/>
              <w:right w:val="single" w:color="231F20" w:sz="8" w:space="0"/>
            </w:tcBorders>
            <w:noWrap w:val="0"/>
            <w:tcMar>
              <w:left w:w="108" w:type="dxa"/>
              <w:right w:w="108" w:type="dxa"/>
            </w:tcMar>
            <w:vAlign w:val="center"/>
          </w:tcPr>
          <w:p>
            <w:pPr>
              <w:pStyle w:val="4"/>
              <w:overflowPunct w:val="0"/>
              <w:topLinePunct/>
              <w:adjustRightInd w:val="0"/>
              <w:spacing w:before="0" w:beforeAutospacing="0" w:after="0" w:afterAutospacing="0" w:line="400" w:lineRule="exact"/>
              <w:jc w:val="both"/>
              <w:rPr>
                <w:rFonts w:eastAsia="方正仿宋_GBK"/>
                <w:sz w:val="28"/>
                <w:szCs w:val="28"/>
              </w:rPr>
            </w:pPr>
            <w:r>
              <w:rPr>
                <w:rFonts w:eastAsia="方正仿宋_GBK"/>
                <w:sz w:val="28"/>
                <w:szCs w:val="28"/>
              </w:rPr>
              <w:t>市自然资源局，市住房城乡建设局</w:t>
            </w:r>
          </w:p>
        </w:tc>
      </w:tr>
      <w:tr>
        <w:tblPrEx>
          <w:tblCellMar>
            <w:top w:w="57" w:type="dxa"/>
            <w:left w:w="0" w:type="dxa"/>
            <w:bottom w:w="57" w:type="dxa"/>
            <w:right w:w="0" w:type="dxa"/>
          </w:tblCellMar>
        </w:tblPrEx>
        <w:trPr>
          <w:trHeight w:val="680" w:hRule="atLeast"/>
          <w:jc w:val="center"/>
        </w:trPr>
        <w:tc>
          <w:tcPr>
            <w:tcW w:w="806" w:type="dxa"/>
            <w:tcBorders>
              <w:top w:val="nil"/>
              <w:left w:val="single" w:color="231F20" w:sz="8" w:space="0"/>
              <w:bottom w:val="single" w:color="231F20" w:sz="8" w:space="0"/>
              <w:right w:val="single" w:color="231F20" w:sz="8" w:space="0"/>
            </w:tcBorders>
            <w:noWrap/>
            <w:tcMar>
              <w:left w:w="108" w:type="dxa"/>
              <w:right w:w="108" w:type="dxa"/>
            </w:tcMar>
            <w:vAlign w:val="center"/>
          </w:tcPr>
          <w:p>
            <w:pPr>
              <w:pStyle w:val="4"/>
              <w:overflowPunct w:val="0"/>
              <w:topLinePunct/>
              <w:adjustRightInd w:val="0"/>
              <w:spacing w:before="0" w:beforeAutospacing="0" w:after="0" w:afterAutospacing="0" w:line="400" w:lineRule="exact"/>
              <w:jc w:val="center"/>
              <w:rPr>
                <w:rFonts w:eastAsia="方正仿宋_GBK"/>
                <w:sz w:val="28"/>
                <w:szCs w:val="28"/>
              </w:rPr>
            </w:pPr>
            <w:r>
              <w:rPr>
                <w:rFonts w:eastAsia="方正仿宋_GBK"/>
                <w:color w:val="000000"/>
                <w:sz w:val="28"/>
                <w:szCs w:val="28"/>
              </w:rPr>
              <w:t>14</w:t>
            </w:r>
          </w:p>
        </w:tc>
        <w:tc>
          <w:tcPr>
            <w:tcW w:w="2551" w:type="dxa"/>
            <w:tcBorders>
              <w:top w:val="nil"/>
              <w:left w:val="nil"/>
              <w:bottom w:val="single" w:color="231F20" w:sz="8" w:space="0"/>
              <w:right w:val="single" w:color="231F20" w:sz="8" w:space="0"/>
            </w:tcBorders>
            <w:noWrap w:val="0"/>
            <w:tcMar>
              <w:left w:w="108" w:type="dxa"/>
              <w:right w:w="108" w:type="dxa"/>
            </w:tcMar>
            <w:vAlign w:val="center"/>
          </w:tcPr>
          <w:p>
            <w:pPr>
              <w:pStyle w:val="4"/>
              <w:overflowPunct w:val="0"/>
              <w:topLinePunct/>
              <w:adjustRightInd w:val="0"/>
              <w:spacing w:before="0" w:beforeAutospacing="0" w:after="0" w:afterAutospacing="0" w:line="400" w:lineRule="exact"/>
              <w:jc w:val="both"/>
              <w:rPr>
                <w:rFonts w:hint="eastAsia" w:ascii="方正黑体_GBK" w:eastAsia="方正黑体_GBK"/>
                <w:sz w:val="28"/>
                <w:szCs w:val="28"/>
              </w:rPr>
            </w:pPr>
            <w:r>
              <w:rPr>
                <w:rFonts w:hint="eastAsia" w:ascii="方正黑体_GBK" w:eastAsia="方正黑体_GBK"/>
                <w:sz w:val="28"/>
                <w:szCs w:val="28"/>
              </w:rPr>
              <w:t>税费支持</w:t>
            </w:r>
          </w:p>
        </w:tc>
        <w:tc>
          <w:tcPr>
            <w:tcW w:w="5510" w:type="dxa"/>
            <w:tcBorders>
              <w:top w:val="nil"/>
              <w:left w:val="nil"/>
              <w:bottom w:val="single" w:color="231F20" w:sz="8" w:space="0"/>
              <w:right w:val="single" w:color="231F20" w:sz="8" w:space="0"/>
            </w:tcBorders>
            <w:noWrap w:val="0"/>
            <w:tcMar>
              <w:left w:w="108" w:type="dxa"/>
              <w:right w:w="108" w:type="dxa"/>
            </w:tcMar>
            <w:vAlign w:val="center"/>
          </w:tcPr>
          <w:p>
            <w:pPr>
              <w:pStyle w:val="4"/>
              <w:overflowPunct w:val="0"/>
              <w:topLinePunct/>
              <w:adjustRightInd w:val="0"/>
              <w:spacing w:before="0" w:beforeAutospacing="0" w:after="0" w:afterAutospacing="0" w:line="400" w:lineRule="exact"/>
              <w:jc w:val="both"/>
              <w:rPr>
                <w:rFonts w:eastAsia="方正仿宋_GBK"/>
                <w:sz w:val="28"/>
                <w:szCs w:val="28"/>
              </w:rPr>
            </w:pPr>
            <w:r>
              <w:rPr>
                <w:rFonts w:eastAsia="方正仿宋_GBK"/>
                <w:sz w:val="28"/>
                <w:szCs w:val="28"/>
              </w:rPr>
              <w:t>市财政局、市税务局，市民政局、市</w:t>
            </w:r>
            <w:r>
              <w:rPr>
                <w:rFonts w:hint="eastAsia" w:eastAsia="方正仿宋_GBK"/>
                <w:sz w:val="28"/>
                <w:szCs w:val="28"/>
              </w:rPr>
              <w:t>教育体育</w:t>
            </w:r>
            <w:r>
              <w:rPr>
                <w:rFonts w:eastAsia="方正仿宋_GBK"/>
                <w:sz w:val="28"/>
                <w:szCs w:val="28"/>
              </w:rPr>
              <w:t>局、市文化和旅游局、市商务局</w:t>
            </w:r>
            <w:r>
              <w:rPr>
                <w:rFonts w:hint="eastAsia" w:eastAsia="方正仿宋_GBK"/>
                <w:sz w:val="28"/>
                <w:szCs w:val="28"/>
              </w:rPr>
              <w:t>以及</w:t>
            </w:r>
            <w:r>
              <w:rPr>
                <w:rFonts w:eastAsia="方正仿宋_GBK"/>
                <w:sz w:val="28"/>
                <w:szCs w:val="28"/>
              </w:rPr>
              <w:t>相关专业经营单位</w:t>
            </w:r>
          </w:p>
        </w:tc>
      </w:tr>
      <w:tr>
        <w:tblPrEx>
          <w:tblCellMar>
            <w:top w:w="57" w:type="dxa"/>
            <w:left w:w="0" w:type="dxa"/>
            <w:bottom w:w="57" w:type="dxa"/>
            <w:right w:w="0" w:type="dxa"/>
          </w:tblCellMar>
        </w:tblPrEx>
        <w:trPr>
          <w:trHeight w:val="680" w:hRule="atLeast"/>
          <w:jc w:val="center"/>
        </w:trPr>
        <w:tc>
          <w:tcPr>
            <w:tcW w:w="806" w:type="dxa"/>
            <w:tcBorders>
              <w:top w:val="nil"/>
              <w:left w:val="single" w:color="231F20" w:sz="8" w:space="0"/>
              <w:bottom w:val="single" w:color="231F20" w:sz="8" w:space="0"/>
              <w:right w:val="single" w:color="231F20" w:sz="8" w:space="0"/>
            </w:tcBorders>
            <w:noWrap/>
            <w:tcMar>
              <w:left w:w="108" w:type="dxa"/>
              <w:right w:w="108" w:type="dxa"/>
            </w:tcMar>
            <w:vAlign w:val="center"/>
          </w:tcPr>
          <w:p>
            <w:pPr>
              <w:pStyle w:val="4"/>
              <w:overflowPunct w:val="0"/>
              <w:topLinePunct/>
              <w:adjustRightInd w:val="0"/>
              <w:spacing w:before="0" w:beforeAutospacing="0" w:after="0" w:afterAutospacing="0" w:line="400" w:lineRule="exact"/>
              <w:jc w:val="center"/>
              <w:rPr>
                <w:rFonts w:eastAsia="方正仿宋_GBK"/>
                <w:sz w:val="28"/>
                <w:szCs w:val="28"/>
              </w:rPr>
            </w:pPr>
            <w:r>
              <w:rPr>
                <w:rFonts w:eastAsia="方正仿宋_GBK"/>
                <w:color w:val="000000"/>
                <w:sz w:val="28"/>
                <w:szCs w:val="28"/>
              </w:rPr>
              <w:t>15</w:t>
            </w:r>
          </w:p>
        </w:tc>
        <w:tc>
          <w:tcPr>
            <w:tcW w:w="2551" w:type="dxa"/>
            <w:tcBorders>
              <w:top w:val="nil"/>
              <w:left w:val="nil"/>
              <w:bottom w:val="single" w:color="231F20" w:sz="8" w:space="0"/>
              <w:right w:val="single" w:color="231F20" w:sz="8" w:space="0"/>
            </w:tcBorders>
            <w:noWrap w:val="0"/>
            <w:tcMar>
              <w:left w:w="108" w:type="dxa"/>
              <w:right w:w="108" w:type="dxa"/>
            </w:tcMar>
            <w:vAlign w:val="center"/>
          </w:tcPr>
          <w:p>
            <w:pPr>
              <w:pStyle w:val="4"/>
              <w:overflowPunct w:val="0"/>
              <w:topLinePunct/>
              <w:adjustRightInd w:val="0"/>
              <w:spacing w:before="0" w:beforeAutospacing="0" w:after="0" w:afterAutospacing="0" w:line="400" w:lineRule="exact"/>
              <w:jc w:val="both"/>
              <w:rPr>
                <w:rFonts w:hint="eastAsia" w:ascii="方正黑体_GBK" w:eastAsia="方正黑体_GBK"/>
                <w:sz w:val="28"/>
                <w:szCs w:val="28"/>
              </w:rPr>
            </w:pPr>
            <w:r>
              <w:rPr>
                <w:rFonts w:hint="eastAsia" w:ascii="方正黑体_GBK" w:eastAsia="方正黑体_GBK"/>
                <w:sz w:val="28"/>
                <w:szCs w:val="28"/>
              </w:rPr>
              <w:t>用地保障</w:t>
            </w:r>
          </w:p>
        </w:tc>
        <w:tc>
          <w:tcPr>
            <w:tcW w:w="5510" w:type="dxa"/>
            <w:tcBorders>
              <w:top w:val="nil"/>
              <w:left w:val="nil"/>
              <w:bottom w:val="single" w:color="231F20" w:sz="8" w:space="0"/>
              <w:right w:val="single" w:color="231F20" w:sz="8" w:space="0"/>
            </w:tcBorders>
            <w:noWrap w:val="0"/>
            <w:tcMar>
              <w:left w:w="108" w:type="dxa"/>
              <w:right w:w="108" w:type="dxa"/>
            </w:tcMar>
            <w:vAlign w:val="center"/>
          </w:tcPr>
          <w:p>
            <w:pPr>
              <w:pStyle w:val="4"/>
              <w:overflowPunct w:val="0"/>
              <w:topLinePunct/>
              <w:adjustRightInd w:val="0"/>
              <w:spacing w:before="0" w:beforeAutospacing="0" w:after="0" w:afterAutospacing="0" w:line="400" w:lineRule="exact"/>
              <w:jc w:val="both"/>
              <w:rPr>
                <w:rFonts w:eastAsia="方正仿宋_GBK"/>
                <w:sz w:val="28"/>
                <w:szCs w:val="28"/>
              </w:rPr>
            </w:pPr>
            <w:r>
              <w:rPr>
                <w:rFonts w:eastAsia="方正仿宋_GBK"/>
                <w:sz w:val="28"/>
                <w:szCs w:val="28"/>
              </w:rPr>
              <w:t>市自然资源局，市住房城乡建设局</w:t>
            </w:r>
          </w:p>
        </w:tc>
      </w:tr>
      <w:tr>
        <w:tblPrEx>
          <w:tblCellMar>
            <w:top w:w="57" w:type="dxa"/>
            <w:left w:w="0" w:type="dxa"/>
            <w:bottom w:w="57" w:type="dxa"/>
            <w:right w:w="0" w:type="dxa"/>
          </w:tblCellMar>
        </w:tblPrEx>
        <w:trPr>
          <w:trHeight w:val="680" w:hRule="atLeast"/>
          <w:jc w:val="center"/>
        </w:trPr>
        <w:tc>
          <w:tcPr>
            <w:tcW w:w="806" w:type="dxa"/>
            <w:tcBorders>
              <w:top w:val="nil"/>
              <w:left w:val="single" w:color="231F20" w:sz="8" w:space="0"/>
              <w:bottom w:val="single" w:color="231F20" w:sz="8" w:space="0"/>
              <w:right w:val="single" w:color="231F20" w:sz="8" w:space="0"/>
            </w:tcBorders>
            <w:noWrap/>
            <w:tcMar>
              <w:left w:w="108" w:type="dxa"/>
              <w:right w:w="108" w:type="dxa"/>
            </w:tcMar>
            <w:vAlign w:val="center"/>
          </w:tcPr>
          <w:p>
            <w:pPr>
              <w:pStyle w:val="4"/>
              <w:overflowPunct w:val="0"/>
              <w:topLinePunct/>
              <w:adjustRightInd w:val="0"/>
              <w:spacing w:before="0" w:beforeAutospacing="0" w:after="0" w:afterAutospacing="0" w:line="400" w:lineRule="exact"/>
              <w:jc w:val="center"/>
              <w:rPr>
                <w:rFonts w:eastAsia="方正仿宋_GBK"/>
                <w:sz w:val="28"/>
                <w:szCs w:val="28"/>
              </w:rPr>
            </w:pPr>
            <w:r>
              <w:rPr>
                <w:rFonts w:eastAsia="方正仿宋_GBK"/>
                <w:color w:val="000000"/>
                <w:sz w:val="28"/>
                <w:szCs w:val="28"/>
              </w:rPr>
              <w:t>16</w:t>
            </w:r>
          </w:p>
        </w:tc>
        <w:tc>
          <w:tcPr>
            <w:tcW w:w="2551" w:type="dxa"/>
            <w:tcBorders>
              <w:top w:val="nil"/>
              <w:left w:val="nil"/>
              <w:bottom w:val="single" w:color="231F20" w:sz="8" w:space="0"/>
              <w:right w:val="single" w:color="231F20" w:sz="8" w:space="0"/>
            </w:tcBorders>
            <w:noWrap w:val="0"/>
            <w:tcMar>
              <w:left w:w="108" w:type="dxa"/>
              <w:right w:w="108" w:type="dxa"/>
            </w:tcMar>
            <w:vAlign w:val="center"/>
          </w:tcPr>
          <w:p>
            <w:pPr>
              <w:pStyle w:val="4"/>
              <w:overflowPunct w:val="0"/>
              <w:topLinePunct/>
              <w:adjustRightInd w:val="0"/>
              <w:spacing w:before="0" w:beforeAutospacing="0" w:after="0" w:afterAutospacing="0" w:line="400" w:lineRule="exact"/>
              <w:jc w:val="both"/>
              <w:rPr>
                <w:rFonts w:hint="eastAsia" w:ascii="方正黑体_GBK" w:eastAsia="方正黑体_GBK"/>
                <w:sz w:val="28"/>
                <w:szCs w:val="28"/>
              </w:rPr>
            </w:pPr>
            <w:r>
              <w:rPr>
                <w:rFonts w:hint="eastAsia" w:ascii="方正黑体_GBK" w:eastAsia="方正黑体_GBK"/>
                <w:sz w:val="28"/>
                <w:szCs w:val="28"/>
              </w:rPr>
              <w:t>评估激励</w:t>
            </w:r>
          </w:p>
        </w:tc>
        <w:tc>
          <w:tcPr>
            <w:tcW w:w="5510" w:type="dxa"/>
            <w:tcBorders>
              <w:top w:val="nil"/>
              <w:left w:val="nil"/>
              <w:bottom w:val="single" w:color="231F20" w:sz="8" w:space="0"/>
              <w:right w:val="single" w:color="231F20" w:sz="8" w:space="0"/>
            </w:tcBorders>
            <w:noWrap w:val="0"/>
            <w:tcMar>
              <w:left w:w="108" w:type="dxa"/>
              <w:right w:w="108" w:type="dxa"/>
            </w:tcMar>
            <w:vAlign w:val="center"/>
          </w:tcPr>
          <w:p>
            <w:pPr>
              <w:pStyle w:val="4"/>
              <w:overflowPunct w:val="0"/>
              <w:topLinePunct/>
              <w:adjustRightInd w:val="0"/>
              <w:spacing w:before="0" w:beforeAutospacing="0" w:after="0" w:afterAutospacing="0" w:line="400" w:lineRule="exact"/>
              <w:jc w:val="both"/>
              <w:rPr>
                <w:rFonts w:eastAsia="方正仿宋_GBK"/>
                <w:sz w:val="28"/>
                <w:szCs w:val="28"/>
              </w:rPr>
            </w:pPr>
            <w:r>
              <w:rPr>
                <w:rFonts w:eastAsia="方正仿宋_GBK"/>
                <w:sz w:val="28"/>
                <w:szCs w:val="28"/>
              </w:rPr>
              <w:t>市住房城乡建设局、市发展改革委、市财政局、市文明办</w:t>
            </w:r>
          </w:p>
        </w:tc>
      </w:tr>
      <w:tr>
        <w:tblPrEx>
          <w:tblCellMar>
            <w:top w:w="57" w:type="dxa"/>
            <w:left w:w="0" w:type="dxa"/>
            <w:bottom w:w="57" w:type="dxa"/>
            <w:right w:w="0" w:type="dxa"/>
          </w:tblCellMar>
        </w:tblPrEx>
        <w:trPr>
          <w:trHeight w:val="680" w:hRule="atLeast"/>
          <w:jc w:val="center"/>
        </w:trPr>
        <w:tc>
          <w:tcPr>
            <w:tcW w:w="806" w:type="dxa"/>
            <w:tcBorders>
              <w:top w:val="nil"/>
              <w:left w:val="single" w:color="231F20" w:sz="8" w:space="0"/>
              <w:bottom w:val="single" w:color="231F20" w:sz="8" w:space="0"/>
              <w:right w:val="single" w:color="231F20" w:sz="8" w:space="0"/>
            </w:tcBorders>
            <w:noWrap/>
            <w:tcMar>
              <w:left w:w="108" w:type="dxa"/>
              <w:right w:w="108" w:type="dxa"/>
            </w:tcMar>
            <w:vAlign w:val="center"/>
          </w:tcPr>
          <w:p>
            <w:pPr>
              <w:pStyle w:val="4"/>
              <w:overflowPunct w:val="0"/>
              <w:topLinePunct/>
              <w:adjustRightInd w:val="0"/>
              <w:spacing w:before="0" w:beforeAutospacing="0" w:after="0" w:afterAutospacing="0" w:line="400" w:lineRule="exact"/>
              <w:jc w:val="center"/>
              <w:rPr>
                <w:rFonts w:eastAsia="方正仿宋_GBK"/>
                <w:sz w:val="28"/>
                <w:szCs w:val="28"/>
              </w:rPr>
            </w:pPr>
            <w:r>
              <w:rPr>
                <w:rFonts w:eastAsia="方正仿宋_GBK"/>
                <w:color w:val="000000"/>
                <w:sz w:val="28"/>
                <w:szCs w:val="28"/>
              </w:rPr>
              <w:t>17</w:t>
            </w:r>
          </w:p>
        </w:tc>
        <w:tc>
          <w:tcPr>
            <w:tcW w:w="2551" w:type="dxa"/>
            <w:tcBorders>
              <w:top w:val="nil"/>
              <w:left w:val="nil"/>
              <w:bottom w:val="single" w:color="231F20" w:sz="8" w:space="0"/>
              <w:right w:val="single" w:color="231F20" w:sz="8" w:space="0"/>
            </w:tcBorders>
            <w:noWrap w:val="0"/>
            <w:tcMar>
              <w:left w:w="108" w:type="dxa"/>
              <w:right w:w="108" w:type="dxa"/>
            </w:tcMar>
            <w:vAlign w:val="center"/>
          </w:tcPr>
          <w:p>
            <w:pPr>
              <w:pStyle w:val="4"/>
              <w:overflowPunct w:val="0"/>
              <w:topLinePunct/>
              <w:adjustRightInd w:val="0"/>
              <w:spacing w:before="0" w:beforeAutospacing="0" w:after="0" w:afterAutospacing="0" w:line="400" w:lineRule="exact"/>
              <w:jc w:val="both"/>
              <w:rPr>
                <w:rFonts w:hint="eastAsia" w:ascii="方正黑体_GBK" w:eastAsia="方正黑体_GBK"/>
                <w:sz w:val="28"/>
                <w:szCs w:val="28"/>
              </w:rPr>
            </w:pPr>
            <w:r>
              <w:rPr>
                <w:rFonts w:hint="eastAsia" w:ascii="方正黑体_GBK" w:eastAsia="方正黑体_GBK"/>
                <w:sz w:val="28"/>
                <w:szCs w:val="28"/>
              </w:rPr>
              <w:t>宣传引导</w:t>
            </w:r>
          </w:p>
        </w:tc>
        <w:tc>
          <w:tcPr>
            <w:tcW w:w="5510" w:type="dxa"/>
            <w:tcBorders>
              <w:top w:val="nil"/>
              <w:left w:val="nil"/>
              <w:bottom w:val="single" w:color="231F20" w:sz="8" w:space="0"/>
              <w:right w:val="single" w:color="231F20" w:sz="8" w:space="0"/>
            </w:tcBorders>
            <w:noWrap w:val="0"/>
            <w:tcMar>
              <w:left w:w="108" w:type="dxa"/>
              <w:right w:w="108" w:type="dxa"/>
            </w:tcMar>
            <w:vAlign w:val="center"/>
          </w:tcPr>
          <w:p>
            <w:pPr>
              <w:pStyle w:val="4"/>
              <w:overflowPunct w:val="0"/>
              <w:topLinePunct/>
              <w:adjustRightInd w:val="0"/>
              <w:spacing w:before="0" w:beforeAutospacing="0" w:after="0" w:afterAutospacing="0" w:line="400" w:lineRule="exact"/>
              <w:jc w:val="both"/>
              <w:rPr>
                <w:rFonts w:eastAsia="方正仿宋_GBK"/>
                <w:sz w:val="28"/>
                <w:szCs w:val="28"/>
              </w:rPr>
            </w:pPr>
            <w:r>
              <w:rPr>
                <w:rFonts w:eastAsia="方正仿宋_GBK"/>
                <w:sz w:val="28"/>
                <w:szCs w:val="28"/>
              </w:rPr>
              <w:t>市住房城乡建设局，市民政局、市文明办</w:t>
            </w:r>
          </w:p>
        </w:tc>
      </w:tr>
    </w:tbl>
    <w:p>
      <w:pPr>
        <w:overflowPunct w:val="0"/>
        <w:topLinePunct/>
        <w:adjustRightInd w:val="0"/>
        <w:spacing w:line="600" w:lineRule="exact"/>
        <w:rPr>
          <w:rFonts w:eastAsia="仿宋_GB2312"/>
          <w:sz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方正仿宋简体">
    <w:panose1 w:val="02000000000000000000"/>
    <w:charset w:val="86"/>
    <w:family w:val="auto"/>
    <w:pitch w:val="default"/>
    <w:sig w:usb0="A00002BF" w:usb1="184F6CFA" w:usb2="00000012"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dit="readOnly" w:formatting="1" w:enforcement="1" w:cryptProviderType="rsaFull" w:cryptAlgorithmClass="hash" w:cryptAlgorithmType="typeAny" w:cryptAlgorithmSid="4" w:cryptSpinCount="0" w:hash="Xqq39qUrT8e7VBpHVHv/zJ0N4Nw=" w:salt="1Ad/axQAxFLHgt4mItzd/Q=="/>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2964BD"/>
    <w:rsid w:val="181E65CC"/>
    <w:rsid w:val="39296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iPriority w:val="0"/>
  </w:style>
  <w:style w:type="paragraph" w:styleId="3">
    <w:name w:val="Plain Text"/>
    <w:basedOn w:val="1"/>
    <w:unhideWhenUsed/>
    <w:qFormat/>
    <w:uiPriority w:val="99"/>
    <w:pPr>
      <w:spacing w:line="580" w:lineRule="exact"/>
      <w:ind w:firstLine="200" w:firstLineChars="200"/>
    </w:pPr>
    <w:rPr>
      <w:rFonts w:ascii="宋体" w:hAnsi="Courier New"/>
      <w:szCs w:val="21"/>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7">
    <w:name w:val="Default"/>
    <w:qFormat/>
    <w:uiPriority w:val="0"/>
    <w:pPr>
      <w:widowControl w:val="0"/>
      <w:autoSpaceDE w:val="0"/>
      <w:autoSpaceDN w:val="0"/>
      <w:adjustRightInd w:val="0"/>
    </w:pPr>
    <w:rPr>
      <w:rFonts w:ascii="楷体_GB2312" w:hAnsi="楷体_GB2312" w:eastAsia="宋体" w:cs="楷体_GB2312"/>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2021-09-01T02:44:00Z</dcterms:created>
  <dc:creator>小梨涡er</dc:creator>
  <cp:lastModifiedBy>小梨涡er</cp:lastModifiedBy>
  <dcterms:modified xsi:type="dcterms:W3CDTF">2021-09-01T02:48:09Z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