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宿政秘〔2020〕50号</w:t>
      </w:r>
    </w:p>
    <w:p>
      <w:pPr>
        <w:adjustRightInd w:val="0"/>
        <w:spacing w:line="400" w:lineRule="exact"/>
        <w:rPr>
          <w:rFonts w:ascii="Times New Roman" w:hAnsi="Times New Roman" w:eastAsia="方正仿宋简体"/>
          <w:sz w:val="32"/>
          <w:szCs w:val="32"/>
        </w:rPr>
      </w:pPr>
    </w:p>
    <w:p>
      <w:pPr>
        <w:adjustRightInd w:val="0"/>
        <w:spacing w:line="560" w:lineRule="exact"/>
        <w:rPr>
          <w:rFonts w:ascii="Times New Roman" w:hAnsi="Times New Roman"/>
        </w:rPr>
      </w:pPr>
    </w:p>
    <w:p>
      <w:pPr>
        <w:overflowPunct w:val="0"/>
        <w:topLinePunct/>
        <w:adjustRightIn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宿州市人民政府关于调整宿州市被征土地</w:t>
      </w:r>
    </w:p>
    <w:p>
      <w:pPr>
        <w:overflowPunct w:val="0"/>
        <w:topLinePunct/>
        <w:adjustRightIn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青苗及地上附着物补偿标准的通知</w:t>
      </w:r>
    </w:p>
    <w:p>
      <w:pPr>
        <w:overflowPunct w:val="0"/>
        <w:topLinePunct/>
        <w:adjustRightInd w:val="0"/>
        <w:spacing w:line="560" w:lineRule="exact"/>
        <w:rPr>
          <w:rFonts w:ascii="Times New Roman" w:hAnsi="Times New Roman" w:eastAsia="方正仿宋_GBK"/>
          <w:sz w:val="32"/>
          <w:szCs w:val="32"/>
        </w:rPr>
      </w:pPr>
    </w:p>
    <w:p>
      <w:pPr>
        <w:overflowPunct w:val="0"/>
        <w:topLinePunct/>
        <w:adjustRightInd w:val="0"/>
        <w:spacing w:line="580" w:lineRule="exact"/>
        <w:rPr>
          <w:rFonts w:ascii="Times New Roman" w:hAnsi="Times New Roman" w:eastAsia="方正仿宋_GBK"/>
          <w:sz w:val="32"/>
          <w:szCs w:val="32"/>
        </w:rPr>
      </w:pPr>
      <w:r>
        <w:rPr>
          <w:rFonts w:ascii="Times New Roman" w:hAnsi="Times New Roman" w:eastAsia="方正仿宋_GBK"/>
          <w:sz w:val="32"/>
          <w:szCs w:val="32"/>
        </w:rPr>
        <w:t>各县、区人民政府，市政府有关部门：</w:t>
      </w:r>
    </w:p>
    <w:p>
      <w:pPr>
        <w:overflowPunct w:val="0"/>
        <w:topLinePunct/>
        <w:adjustRightIn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进一步加强和改进征地补偿工作，切实维护被征地农民的合法土地权益、保障被征地农民原有生活水平不降低、长远生计有保障，推动我市经济平稳较快发展，促进社会和谐稳定，根据《安徽省人民政府关于公布全省征地区片综合地价标准的通知》（皖政〔2020〕32号）及《安徽省自然资源厅关于开展征地区片综合地价制定工作的函》（皖自然资函〔2019〕677号）等有关规定，经2020年9月17日市政府第50次常务会议审定通过，现将调整后的各县、区被征土地青苗及地上附着物补偿标准予以公布。</w:t>
      </w:r>
    </w:p>
    <w:p>
      <w:pPr>
        <w:overflowPunct w:val="0"/>
        <w:topLinePunct/>
        <w:adjustRightIn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本通知自印发之日起实施，《宿州市人民政府关于调整宿州市被征土地青苗及地上附着物补偿标准的通知》（宿政秘〔2015〕221号）同步废止。</w:t>
      </w:r>
    </w:p>
    <w:p>
      <w:pPr>
        <w:overflowPunct w:val="0"/>
        <w:topLinePunct/>
        <w:adjustRightInd w:val="0"/>
        <w:spacing w:line="56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附件：1．埇桥区被征土地青苗及地上附着物补偿标准</w:t>
      </w:r>
    </w:p>
    <w:p>
      <w:pPr>
        <w:overflowPunct w:val="0"/>
        <w:topLinePunct/>
        <w:adjustRightInd w:val="0"/>
        <w:spacing w:line="600" w:lineRule="exact"/>
        <w:ind w:firstLine="1856" w:firstLineChars="580"/>
        <w:rPr>
          <w:rFonts w:ascii="Times New Roman" w:hAnsi="Times New Roman" w:eastAsia="方正仿宋_GBK"/>
          <w:sz w:val="32"/>
          <w:szCs w:val="32"/>
        </w:rPr>
      </w:pPr>
      <w:r>
        <w:rPr>
          <w:rFonts w:ascii="Times New Roman" w:hAnsi="Times New Roman" w:eastAsia="方正仿宋_GBK"/>
          <w:sz w:val="32"/>
          <w:szCs w:val="32"/>
        </w:rPr>
        <w:t>2．砀山县被征土地青苗及地上附着物补偿标准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3．萧县被征土地青苗及地上附着物补偿标准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4．灵壁县被征土地青苗及地上附着物补偿标准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5．泗县被征土地青苗及地上附着物补偿标准</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2020年9月2</w:t>
      </w:r>
      <w:r>
        <w:rPr>
          <w:rFonts w:hint="eastAsia" w:ascii="Times New Roman" w:hAnsi="Times New Roman" w:eastAsia="方正仿宋_GBK"/>
          <w:sz w:val="32"/>
          <w:szCs w:val="32"/>
        </w:rPr>
        <w:t>5</w:t>
      </w:r>
      <w:r>
        <w:rPr>
          <w:rFonts w:ascii="Times New Roman" w:hAnsi="Times New Roman" w:eastAsia="方正仿宋_GBK"/>
          <w:sz w:val="32"/>
          <w:szCs w:val="32"/>
        </w:rPr>
        <w:t>日</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rPr>
          <w:rFonts w:ascii="Times New Roman" w:hAnsi="Times New Roman" w:eastAsia="方正黑体_GBK"/>
          <w:sz w:val="32"/>
          <w:szCs w:val="32"/>
        </w:rPr>
      </w:pPr>
      <w:r>
        <w:rPr>
          <w:rFonts w:ascii="Times New Roman" w:hAnsi="Times New Roman" w:eastAsia="方正黑体_GBK"/>
          <w:sz w:val="32"/>
          <w:szCs w:val="32"/>
        </w:rPr>
        <w:t>附件1</w:t>
      </w:r>
    </w:p>
    <w:p>
      <w:pPr>
        <w:overflowPunct w:val="0"/>
        <w:topLinePunct/>
        <w:adjustRightInd w:val="0"/>
        <w:spacing w:line="500" w:lineRule="exact"/>
        <w:ind w:firstLine="640" w:firstLineChars="200"/>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埇桥区被征土地青苗及地上附着物补偿标准</w:t>
      </w:r>
    </w:p>
    <w:p>
      <w:pPr>
        <w:overflowPunct w:val="0"/>
        <w:topLinePunct/>
        <w:adjustRightInd w:val="0"/>
        <w:spacing w:line="520" w:lineRule="exact"/>
        <w:ind w:firstLine="640" w:firstLineChars="200"/>
        <w:rPr>
          <w:rFonts w:ascii="Times New Roman" w:hAnsi="Times New Roman" w:eastAsia="方正仿宋_GBK"/>
          <w:color w:val="000000"/>
          <w:sz w:val="32"/>
          <w:szCs w:val="32"/>
        </w:rPr>
      </w:pP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一、居住房屋及附着物补偿标准</w:t>
      </w:r>
    </w:p>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（一）拆迁房屋重置价格参照表。</w:t>
      </w:r>
    </w:p>
    <w:tbl>
      <w:tblPr>
        <w:tblStyle w:val="18"/>
        <w:tblW w:w="9153" w:type="dxa"/>
        <w:jc w:val="center"/>
        <w:tblLayout w:type="fixed"/>
        <w:tblCellMar>
          <w:top w:w="28" w:type="dxa"/>
          <w:left w:w="57" w:type="dxa"/>
          <w:bottom w:w="28" w:type="dxa"/>
          <w:right w:w="57" w:type="dxa"/>
        </w:tblCellMar>
      </w:tblPr>
      <w:tblGrid>
        <w:gridCol w:w="807"/>
        <w:gridCol w:w="699"/>
        <w:gridCol w:w="6614"/>
        <w:gridCol w:w="1033"/>
      </w:tblGrid>
      <w:tr>
        <w:tblPrEx>
          <w:tblCellMar>
            <w:top w:w="28" w:type="dxa"/>
            <w:left w:w="57" w:type="dxa"/>
            <w:bottom w:w="28" w:type="dxa"/>
            <w:right w:w="57" w:type="dxa"/>
          </w:tblCellMar>
        </w:tblPrEx>
        <w:trPr>
          <w:wBefore w:w="0" w:type="dxa"/>
          <w:wAfter w:w="0" w:type="dxa"/>
          <w:trHeight w:val="567"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类别</w:t>
            </w:r>
          </w:p>
        </w:tc>
        <w:tc>
          <w:tcPr>
            <w:tcW w:w="69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等级</w:t>
            </w:r>
          </w:p>
        </w:tc>
        <w:tc>
          <w:tcPr>
            <w:tcW w:w="6614"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结　构　设　备</w:t>
            </w:r>
          </w:p>
        </w:tc>
        <w:tc>
          <w:tcPr>
            <w:tcW w:w="1033"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重置价（元/㎡）</w:t>
            </w:r>
          </w:p>
        </w:tc>
      </w:tr>
      <w:tr>
        <w:tblPrEx>
          <w:tblCellMar>
            <w:top w:w="28" w:type="dxa"/>
            <w:left w:w="57" w:type="dxa"/>
            <w:bottom w:w="28" w:type="dxa"/>
            <w:right w:w="57" w:type="dxa"/>
          </w:tblCellMar>
        </w:tblPrEx>
        <w:trPr>
          <w:wBefore w:w="0" w:type="dxa"/>
          <w:wAfter w:w="0" w:type="dxa"/>
          <w:trHeight w:val="567" w:hRule="atLeast"/>
          <w:jc w:val="center"/>
        </w:trPr>
        <w:tc>
          <w:tcPr>
            <w:tcW w:w="1506"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框　架</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梁柱承重，现浇屋面，铝塑门窗，高级粉刷，水电卫齐全。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1070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砖混</w:t>
            </w: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一</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240砖墙，钢筋混凝土梁承重，层层设置圈梁和构造柱，现浇屋面，铝塑门窗，高级粉刷，水电卫齐全。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930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二</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240砖墙承重，设置圈梁或构造柱，多孔板屋面，标准木门窗一玻一纱，中级粉刷，水电卫齐全。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850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三</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240或180砖墙或土墙，无圈梁或构造柱，预制水泥桁条，简易屋面，非标准门窗，普通粉刷，水电齐全。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780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砖木</w:t>
            </w: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一</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240砖墙，瓦屋面，木桁条，标准门窗，水泥地坪，水电卫齐全，外墙粉刷。</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750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二</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240或180砖墙，瓦屋面，木桁条或预制桁条，标准门窗，水泥地坪，水电齐全，清水墙。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640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三</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240或180砖墙或土墙，简易屋面，非标准门窗，水电齐全。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580</w:t>
            </w:r>
          </w:p>
        </w:tc>
      </w:tr>
      <w:tr>
        <w:tblPrEx>
          <w:tblCellMar>
            <w:top w:w="28" w:type="dxa"/>
            <w:left w:w="57" w:type="dxa"/>
            <w:bottom w:w="28" w:type="dxa"/>
            <w:right w:w="57" w:type="dxa"/>
          </w:tblCellMar>
        </w:tblPrEx>
        <w:trPr>
          <w:wBefore w:w="0" w:type="dxa"/>
          <w:wAfter w:w="0" w:type="dxa"/>
          <w:trHeight w:val="567" w:hRule="atLeast"/>
          <w:jc w:val="center"/>
        </w:trPr>
        <w:tc>
          <w:tcPr>
            <w:tcW w:w="1506"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其他结构</w:t>
            </w:r>
          </w:p>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房屋</w:t>
            </w: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低于砖木三等以下的标准房屋。</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厂房仓库</w:t>
            </w:r>
          </w:p>
        </w:tc>
        <w:tc>
          <w:tcPr>
            <w:tcW w:w="699"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砖混结构</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砖混结构，净高4m以上（含4m）、空心板顶、砖墙。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610</w:t>
            </w:r>
          </w:p>
        </w:tc>
      </w:tr>
      <w:tr>
        <w:tblPrEx>
          <w:tblCellMar>
            <w:top w:w="28" w:type="dxa"/>
            <w:left w:w="57" w:type="dxa"/>
            <w:bottom w:w="28" w:type="dxa"/>
            <w:right w:w="57" w:type="dxa"/>
          </w:tblCellMar>
        </w:tblPrEx>
        <w:trPr>
          <w:wBefore w:w="0" w:type="dxa"/>
          <w:wAfter w:w="0" w:type="dxa"/>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p>
        </w:tc>
        <w:tc>
          <w:tcPr>
            <w:tcW w:w="699"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砖混结构，净高4m以上（含4m）、石棉瓦顶、砖墙。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500</w:t>
            </w:r>
          </w:p>
        </w:tc>
      </w:tr>
      <w:tr>
        <w:tblPrEx>
          <w:tblCellMar>
            <w:top w:w="28" w:type="dxa"/>
            <w:left w:w="57" w:type="dxa"/>
            <w:bottom w:w="28" w:type="dxa"/>
            <w:right w:w="57" w:type="dxa"/>
          </w:tblCellMar>
        </w:tblPrEx>
        <w:trPr>
          <w:wBefore w:w="0" w:type="dxa"/>
          <w:wAfter w:w="0" w:type="dxa"/>
          <w:trHeight w:val="567" w:hRule="atLeast"/>
          <w:jc w:val="center"/>
        </w:trPr>
        <w:tc>
          <w:tcPr>
            <w:tcW w:w="1506" w:type="dxa"/>
            <w:gridSpan w:val="2"/>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jc w:val="center"/>
              <w:rPr>
                <w:rFonts w:ascii="Times New Roman" w:hAnsi="Times New Roman" w:eastAsia="方正楷体_GBK"/>
                <w:kern w:val="0"/>
                <w:sz w:val="28"/>
                <w:szCs w:val="28"/>
              </w:rPr>
            </w:pPr>
            <w:r>
              <w:rPr>
                <w:rFonts w:ascii="Times New Roman" w:hAnsi="Times New Roman" w:eastAsia="方正楷体_GBK"/>
                <w:kern w:val="0"/>
                <w:sz w:val="28"/>
                <w:szCs w:val="28"/>
              </w:rPr>
              <w:t>房　基</w:t>
            </w: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有砖石基础，有钢筋砼圈梁。</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120</w:t>
            </w:r>
          </w:p>
        </w:tc>
      </w:tr>
      <w:tr>
        <w:tblPrEx>
          <w:tblCellMar>
            <w:top w:w="28" w:type="dxa"/>
            <w:left w:w="57" w:type="dxa"/>
            <w:bottom w:w="28" w:type="dxa"/>
            <w:right w:w="57" w:type="dxa"/>
          </w:tblCellMar>
        </w:tblPrEx>
        <w:trPr>
          <w:wBefore w:w="0" w:type="dxa"/>
          <w:wAfter w:w="0" w:type="dxa"/>
          <w:trHeight w:val="567" w:hRule="atLeast"/>
          <w:jc w:val="center"/>
        </w:trPr>
        <w:tc>
          <w:tcPr>
            <w:tcW w:w="150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有砖石基础，无圈梁。</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80</w:t>
            </w:r>
          </w:p>
        </w:tc>
      </w:tr>
    </w:tbl>
    <w:p>
      <w:pPr>
        <w:overflowPunct w:val="0"/>
        <w:topLinePunct/>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（二）房屋拆迁补助补偿标准。</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1．搬迁补助费：</w:t>
      </w:r>
      <w:r>
        <w:rPr>
          <w:rFonts w:ascii="Times New Roman" w:hAnsi="Times New Roman" w:eastAsia="方正仿宋_GBK"/>
          <w:color w:val="000000"/>
          <w:sz w:val="32"/>
          <w:szCs w:val="32"/>
        </w:rPr>
        <w:t>按被拆迁房屋建筑面积8元／平方米计算。</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2．临时安置补助费：</w:t>
      </w:r>
      <w:r>
        <w:rPr>
          <w:rFonts w:ascii="Times New Roman" w:hAnsi="Times New Roman" w:eastAsia="方正仿宋_GBK"/>
          <w:color w:val="000000"/>
          <w:sz w:val="32"/>
          <w:szCs w:val="32"/>
        </w:rPr>
        <w:t>按被拆迁房屋建筑面积8元／平方米·月计算。</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3．非住宅房屋停产、停业补偿费：</w:t>
      </w:r>
      <w:r>
        <w:rPr>
          <w:rFonts w:ascii="Times New Roman" w:hAnsi="Times New Roman" w:eastAsia="方正仿宋_GBK"/>
          <w:color w:val="000000"/>
          <w:sz w:val="32"/>
          <w:szCs w:val="32"/>
        </w:rPr>
        <w:t>（1）实行产权调换的商业用房：按被拆迁房屋建筑面积15－35元／平方米·月计算；（2）实行产权调换的工业、仓储用房：按被拆迁房屋建筑面积12元／平方米·月计算。</w:t>
      </w:r>
    </w:p>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（三）各类附属物补偿价格参照表。</w:t>
      </w:r>
    </w:p>
    <w:tbl>
      <w:tblPr>
        <w:tblStyle w:val="18"/>
        <w:tblW w:w="8852" w:type="dxa"/>
        <w:jc w:val="center"/>
        <w:tblLayout w:type="fixed"/>
        <w:tblCellMar>
          <w:top w:w="28" w:type="dxa"/>
          <w:left w:w="57" w:type="dxa"/>
          <w:bottom w:w="28" w:type="dxa"/>
          <w:right w:w="57" w:type="dxa"/>
        </w:tblCellMar>
      </w:tblPr>
      <w:tblGrid>
        <w:gridCol w:w="1507"/>
        <w:gridCol w:w="1842"/>
        <w:gridCol w:w="1658"/>
        <w:gridCol w:w="1659"/>
        <w:gridCol w:w="2186"/>
      </w:tblGrid>
      <w:tr>
        <w:tblPrEx>
          <w:tblCellMar>
            <w:top w:w="28" w:type="dxa"/>
            <w:left w:w="57" w:type="dxa"/>
            <w:bottom w:w="28" w:type="dxa"/>
            <w:right w:w="57" w:type="dxa"/>
          </w:tblCellMar>
        </w:tblPrEx>
        <w:trPr>
          <w:wBefore w:w="0" w:type="dxa"/>
          <w:wAfter w:w="0" w:type="dxa"/>
          <w:trHeight w:val="567" w:hRule="atLeast"/>
          <w:tblHeader/>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1658"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165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218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　注</w:t>
            </w: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空　调</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柜　式</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分体式</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190</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太阳能</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能</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抽油烟机</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2186" w:type="dxa"/>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wBefore w:w="0" w:type="dxa"/>
          <w:wAfter w:w="0" w:type="dxa"/>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电话、宽带</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部</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restart"/>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（按相关部门资费标准执行）</w:t>
            </w:r>
          </w:p>
        </w:tc>
      </w:tr>
      <w:tr>
        <w:tblPrEx>
          <w:tblCellMar>
            <w:top w:w="28" w:type="dxa"/>
            <w:left w:w="57" w:type="dxa"/>
            <w:bottom w:w="28" w:type="dxa"/>
            <w:right w:w="57" w:type="dxa"/>
          </w:tblCellMar>
        </w:tblPrEx>
        <w:trPr>
          <w:wBefore w:w="0" w:type="dxa"/>
          <w:wAfter w:w="0" w:type="dxa"/>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有线电视</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　表</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　表</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室外地坪</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泥</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　墙</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混</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2186" w:type="dxa"/>
            <w:vMerge w:val="restart"/>
            <w:tcBorders>
              <w:top w:val="nil"/>
              <w:left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186"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1658" w:type="dxa"/>
            <w:tcBorders>
              <w:top w:val="nil"/>
              <w:left w:val="nil"/>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2186"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restart"/>
            <w:tcBorders>
              <w:top w:val="single" w:color="auto" w:sz="4" w:space="0"/>
              <w:left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其　他</w:t>
            </w:r>
          </w:p>
        </w:tc>
        <w:tc>
          <w:tcPr>
            <w:tcW w:w="1842" w:type="dxa"/>
            <w:tcBorders>
              <w:top w:val="single" w:color="auto" w:sz="4" w:space="0"/>
              <w:left w:val="nil"/>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门　楼</w:t>
            </w:r>
          </w:p>
        </w:tc>
        <w:tc>
          <w:tcPr>
            <w:tcW w:w="1658"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65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300-400</w:t>
            </w:r>
          </w:p>
        </w:tc>
        <w:tc>
          <w:tcPr>
            <w:tcW w:w="2186"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手压水井</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遮阳棚</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07" w:type="dxa"/>
            <w:vMerge w:val="continue"/>
            <w:tcBorders>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金属栏杆</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（四）各类装潢补偿价格参照表（固定并无法移动）。</w:t>
      </w:r>
    </w:p>
    <w:tbl>
      <w:tblPr>
        <w:tblStyle w:val="18"/>
        <w:tblW w:w="8986" w:type="dxa"/>
        <w:jc w:val="center"/>
        <w:tblLayout w:type="fixed"/>
        <w:tblCellMar>
          <w:top w:w="28" w:type="dxa"/>
          <w:left w:w="57" w:type="dxa"/>
          <w:bottom w:w="28" w:type="dxa"/>
          <w:right w:w="57" w:type="dxa"/>
        </w:tblCellMar>
      </w:tblPr>
      <w:tblGrid>
        <w:gridCol w:w="1574"/>
        <w:gridCol w:w="2409"/>
        <w:gridCol w:w="993"/>
        <w:gridCol w:w="1494"/>
        <w:gridCol w:w="2516"/>
      </w:tblGrid>
      <w:tr>
        <w:tblPrEx>
          <w:tblCellMar>
            <w:top w:w="28" w:type="dxa"/>
            <w:left w:w="57" w:type="dxa"/>
            <w:bottom w:w="28" w:type="dxa"/>
            <w:right w:w="57" w:type="dxa"/>
          </w:tblCellMar>
        </w:tblPrEx>
        <w:trPr>
          <w:wBefore w:w="0" w:type="dxa"/>
          <w:wAfter w:w="0" w:type="dxa"/>
          <w:trHeight w:val="567" w:hRule="atLeast"/>
          <w:tblHeader/>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　称</w:t>
            </w:r>
          </w:p>
        </w:tc>
        <w:tc>
          <w:tcPr>
            <w:tcW w:w="99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494"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251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备　注</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室内地坪</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水磨石地坪</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各类水磨石地坪</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地板砖</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50－100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各类地板砖地面</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花岗岩</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大理石</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木地板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60-120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各类木地板地面</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门　窗</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门窗护角</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35</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包门（双面）</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150-200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双层窗</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不属房屋本身</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防盗门</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樘</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450-900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防盗窗</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墙　面</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墙面砖</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50-100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墙布、喷塑</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木墙裙</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无法移动固定墙柜</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吊　顶</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墙纸天棚</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间</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扣板、石膏</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纤维板、灰板条</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三合板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坐　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蹲　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面　盆</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菜　盆</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灶　台</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橱　柜</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注：1．具体补偿价格根据装潢使用年限折旧计算；</w:t>
      </w:r>
    </w:p>
    <w:p>
      <w:pPr>
        <w:overflowPunct w:val="0"/>
        <w:topLinePunct/>
        <w:adjustRightInd w:val="0"/>
        <w:spacing w:line="400" w:lineRule="exact"/>
        <w:ind w:firstLine="616" w:firstLineChars="220"/>
        <w:rPr>
          <w:rFonts w:ascii="Times New Roman" w:hAnsi="Times New Roman" w:eastAsia="方正仿宋_GBK"/>
          <w:sz w:val="28"/>
          <w:szCs w:val="28"/>
        </w:rPr>
      </w:pPr>
      <w:r>
        <w:rPr>
          <w:rFonts w:ascii="Times New Roman" w:hAnsi="Times New Roman" w:eastAsia="方正仿宋_GBK"/>
          <w:sz w:val="28"/>
          <w:szCs w:val="28"/>
        </w:rPr>
        <w:t>2．同时适用货币补偿和产权调换；</w:t>
      </w:r>
    </w:p>
    <w:p>
      <w:pPr>
        <w:overflowPunct w:val="0"/>
        <w:topLinePunct/>
        <w:adjustRightInd w:val="0"/>
        <w:spacing w:line="400" w:lineRule="exact"/>
        <w:ind w:firstLine="616" w:firstLineChars="220"/>
        <w:rPr>
          <w:rFonts w:ascii="Times New Roman" w:hAnsi="Times New Roman" w:eastAsia="方正仿宋_GBK"/>
          <w:sz w:val="28"/>
          <w:szCs w:val="28"/>
        </w:rPr>
      </w:pPr>
      <w:r>
        <w:rPr>
          <w:rFonts w:ascii="Times New Roman" w:hAnsi="Times New Roman" w:eastAsia="方正仿宋_GBK"/>
          <w:sz w:val="28"/>
          <w:szCs w:val="28"/>
        </w:rPr>
        <w:t>3．本表未涉及的装潢，参照表格执行；不能参照的，另行商定。</w:t>
      </w:r>
    </w:p>
    <w:p>
      <w:pPr>
        <w:overflowPunct w:val="0"/>
        <w:topLinePunct/>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1．商业用房及其他非住宅装潢折旧标准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2．住宅装潢折旧标准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二、屋及附属物补偿标准</w:t>
      </w:r>
    </w:p>
    <w:tbl>
      <w:tblPr>
        <w:tblStyle w:val="18"/>
        <w:tblW w:w="8976" w:type="dxa"/>
        <w:jc w:val="center"/>
        <w:tblLayout w:type="fixed"/>
        <w:tblCellMar>
          <w:top w:w="28" w:type="dxa"/>
          <w:left w:w="57" w:type="dxa"/>
          <w:bottom w:w="28" w:type="dxa"/>
          <w:right w:w="57" w:type="dxa"/>
        </w:tblCellMar>
      </w:tblPr>
      <w:tblGrid>
        <w:gridCol w:w="691"/>
        <w:gridCol w:w="992"/>
        <w:gridCol w:w="835"/>
        <w:gridCol w:w="3417"/>
        <w:gridCol w:w="773"/>
        <w:gridCol w:w="1517"/>
        <w:gridCol w:w="751"/>
      </w:tblGrid>
      <w:tr>
        <w:tblPrEx>
          <w:tblCellMar>
            <w:top w:w="28" w:type="dxa"/>
            <w:left w:w="57" w:type="dxa"/>
            <w:bottom w:w="28" w:type="dxa"/>
            <w:right w:w="57" w:type="dxa"/>
          </w:tblCellMar>
        </w:tblPrEx>
        <w:trPr>
          <w:wBefore w:w="0" w:type="dxa"/>
          <w:wAfter w:w="0" w:type="dxa"/>
          <w:trHeight w:val="567" w:hRule="atLeast"/>
          <w:tblHeader/>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99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分类</w:t>
            </w:r>
          </w:p>
        </w:tc>
        <w:tc>
          <w:tcPr>
            <w:tcW w:w="4252" w:type="dxa"/>
            <w:gridSpan w:val="2"/>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　　称</w:t>
            </w:r>
          </w:p>
        </w:tc>
        <w:tc>
          <w:tcPr>
            <w:tcW w:w="77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51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751"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备注</w:t>
            </w: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非居住房屋</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标准猪、鸡、鸭、狗舍</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330-440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FF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简易猪、牛、羊、鸡、鸭、狗舍</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200-300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FF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简易钢结构、彩钢瓦</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835" w:type="dxa"/>
            <w:vMerge w:val="restart"/>
            <w:tcBorders>
              <w:top w:val="nil"/>
              <w:left w:val="nil"/>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3417"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250-350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835" w:type="dxa"/>
            <w:vMerge w:val="continue"/>
            <w:tcBorders>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p>
        </w:tc>
        <w:tc>
          <w:tcPr>
            <w:tcW w:w="3417"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户改厕三格化化粪池</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800-1000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楷体_GBK"/>
                <w:kern w:val="0"/>
                <w:sz w:val="28"/>
                <w:szCs w:val="28"/>
              </w:rPr>
            </w:pPr>
            <w:r>
              <w:rPr>
                <w:rFonts w:ascii="Times New Roman" w:hAnsi="Times New Roman" w:eastAsia="方正楷体_GBK"/>
                <w:kern w:val="0"/>
                <w:sz w:val="28"/>
                <w:szCs w:val="28"/>
              </w:rPr>
              <w:t>温室、大棚</w:t>
            </w:r>
          </w:p>
        </w:tc>
        <w:tc>
          <w:tcPr>
            <w:tcW w:w="4252" w:type="dxa"/>
            <w:gridSpan w:val="2"/>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77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90-150</w:t>
            </w:r>
          </w:p>
        </w:tc>
        <w:tc>
          <w:tcPr>
            <w:tcW w:w="751"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钢骨架（复合材料骨架）塑料大棚</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自行拆除</w:t>
            </w: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竹木塑料大棚</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8-10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自行拆除</w:t>
            </w: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场　地</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泥结碎石</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素混凝土</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砖地面（立砖）</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30-40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砖地面（平砖）</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15-25</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道　路</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泥结碎石道路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20-30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素混凝土道路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60-80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煤矸石道路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沥青道路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坟　墓</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土坟单棺</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土坟多棺</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砖石、混凝土墓</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2000-2500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（一）征收土地过程中，对非居住房屋以及附属物按非居住房屋及附属物补偿标准予以补偿。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（二）非居住房屋及附属物的补偿标准根据下列建筑物的结构标准进行计算。</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1．标准猪、鸡、鸭、狗舍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2.2米左右（檐高浮动范围为±20厘米），墙体为二四墙，清水外墙，水泥抹灰内墙，室内水泥地面，木苇顶，挂瓦屋顶，木门窗，无上下圈梁。圈栏墙为单砖（一二墙），高1.0米左右，水泥内外壁，简易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简易鸡舍、鸭舍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石棉瓦顶，高3米，水泥地面。</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户改厕三格化化粪池，由砖砌的三个相互连通的密封粪池组成，现浇钢筋混凝土底板</w:t>
      </w:r>
      <w:r>
        <w:rPr>
          <w:rFonts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rPr>
        <w:t>池壁需做抹灰和防水处理，安装混凝土盖板。</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竹木塑料大棚：拱形，高约2米，内部竹竿骨架，覆盖材料为单层无滴塑料薄膜。</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包括：泥结碎石道路、素混凝土道路（200毫米）、煤矸石道路（100毫米）、沥青道路（1层灰土，40－60毫米沥青灌入式砼，10－20毫米沥青面层）。</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三、农田水利、电力设施补偿标准</w:t>
      </w:r>
    </w:p>
    <w:tbl>
      <w:tblPr>
        <w:tblStyle w:val="18"/>
        <w:tblW w:w="9028" w:type="dxa"/>
        <w:jc w:val="center"/>
        <w:tblLayout w:type="fixed"/>
        <w:tblCellMar>
          <w:top w:w="28" w:type="dxa"/>
          <w:left w:w="57" w:type="dxa"/>
          <w:bottom w:w="28" w:type="dxa"/>
          <w:right w:w="57" w:type="dxa"/>
        </w:tblCellMar>
      </w:tblPr>
      <w:tblGrid>
        <w:gridCol w:w="726"/>
        <w:gridCol w:w="727"/>
        <w:gridCol w:w="992"/>
        <w:gridCol w:w="4572"/>
        <w:gridCol w:w="735"/>
        <w:gridCol w:w="1276"/>
      </w:tblGrid>
      <w:tr>
        <w:tblPrEx>
          <w:tblCellMar>
            <w:top w:w="28" w:type="dxa"/>
            <w:left w:w="57" w:type="dxa"/>
            <w:bottom w:w="28" w:type="dxa"/>
            <w:right w:w="57" w:type="dxa"/>
          </w:tblCellMar>
        </w:tblPrEx>
        <w:trPr>
          <w:wBefore w:w="0" w:type="dxa"/>
          <w:wAfter w:w="0" w:type="dxa"/>
          <w:trHeight w:val="567" w:hRule="atLeast"/>
          <w:tblHeader/>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72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分类</w:t>
            </w:r>
          </w:p>
        </w:tc>
        <w:tc>
          <w:tcPr>
            <w:tcW w:w="99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名称</w:t>
            </w:r>
          </w:p>
        </w:tc>
        <w:tc>
          <w:tcPr>
            <w:tcW w:w="457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规　　格</w:t>
            </w:r>
          </w:p>
        </w:tc>
        <w:tc>
          <w:tcPr>
            <w:tcW w:w="735"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27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color w:val="000000"/>
                <w:kern w:val="0"/>
                <w:sz w:val="28"/>
                <w:szCs w:val="28"/>
              </w:rPr>
              <w:t>单价（元）</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楷体_GBK"/>
                <w:color w:val="000000"/>
                <w:kern w:val="0"/>
                <w:sz w:val="28"/>
                <w:szCs w:val="28"/>
              </w:rPr>
            </w:pPr>
            <w:r>
              <w:rPr>
                <w:rFonts w:ascii="Times New Roman" w:hAnsi="Times New Roman" w:eastAsia="方正楷体_GBK"/>
                <w:color w:val="000000"/>
                <w:w w:val="88"/>
                <w:kern w:val="0"/>
                <w:sz w:val="28"/>
                <w:szCs w:val="28"/>
              </w:rPr>
              <w:t>明沟、</w:t>
            </w:r>
            <w:r>
              <w:rPr>
                <w:rFonts w:ascii="Times New Roman" w:hAnsi="Times New Roman" w:eastAsia="方正楷体_GBK"/>
                <w:color w:val="000000"/>
                <w:kern w:val="0"/>
                <w:sz w:val="28"/>
                <w:szCs w:val="28"/>
              </w:rPr>
              <w:t>渠</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石块</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160-240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140-200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混凝土</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预制块</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厚度5cm-8cm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深≥25米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深＜25米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Φ≥30cm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Φ＜30cm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小口井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深≥15米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小口井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深＜15米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手拉井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跨径1.2米以下，无涵管，底面铺0.5米厚毛石，毛石面上做0.2米厚混凝土，两侧砌0.4米厚毛石墙。</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260-320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跨径1.2米以下，涵管直径＜1.2米，下铺0.5米厚毛石，毛石面上做0.2米厚混凝土，两侧砌0.4米厚毛石墙。</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300-380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大涵管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小涵管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99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水泥杆</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35-50</w:t>
            </w:r>
          </w:p>
        </w:tc>
      </w:tr>
      <w:tr>
        <w:tblPrEx>
          <w:tblCellMar>
            <w:top w:w="28" w:type="dxa"/>
            <w:left w:w="57" w:type="dxa"/>
            <w:bottom w:w="28" w:type="dxa"/>
            <w:right w:w="57" w:type="dxa"/>
          </w:tblCellMar>
        </w:tblPrEx>
        <w:trPr>
          <w:wBefore w:w="0" w:type="dxa"/>
          <w:wAfter w:w="0" w:type="dxa"/>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行条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四、树木移栽补偿标准</w:t>
      </w:r>
    </w:p>
    <w:tbl>
      <w:tblPr>
        <w:tblStyle w:val="18"/>
        <w:tblW w:w="8859" w:type="dxa"/>
        <w:jc w:val="center"/>
        <w:tblLayout w:type="fixed"/>
        <w:tblCellMar>
          <w:top w:w="28" w:type="dxa"/>
          <w:left w:w="57" w:type="dxa"/>
          <w:bottom w:w="28" w:type="dxa"/>
          <w:right w:w="57" w:type="dxa"/>
        </w:tblCellMar>
      </w:tblPr>
      <w:tblGrid>
        <w:gridCol w:w="2953"/>
        <w:gridCol w:w="2953"/>
        <w:gridCol w:w="2953"/>
      </w:tblGrid>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胸径（cm）</w:t>
            </w:r>
          </w:p>
        </w:tc>
        <w:tc>
          <w:tcPr>
            <w:tcW w:w="295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普通树（元/棵）</w:t>
            </w:r>
          </w:p>
        </w:tc>
        <w:tc>
          <w:tcPr>
            <w:tcW w:w="295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果树（元/棵）</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φ＜2.0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2.0≤φ＜5.0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5.0≤φ＜10.0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10.0≤φ＜15.0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15.0≤φ＜20.0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20.0≤φ＜25.0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25.0≤φ＜30.0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r>
      <w:tr>
        <w:tblPrEx>
          <w:tblCellMar>
            <w:top w:w="28" w:type="dxa"/>
            <w:left w:w="57" w:type="dxa"/>
            <w:bottom w:w="28" w:type="dxa"/>
            <w:right w:w="57" w:type="dxa"/>
          </w:tblCellMar>
        </w:tblPrEx>
        <w:trPr>
          <w:wBefore w:w="0" w:type="dxa"/>
          <w:wAfter w:w="0" w:type="dxa"/>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30以上</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特殊树种，如桃树、石楠球等树木主干直径高度低于1米，按地</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面往上0.2米处直径×0.9计算；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2．风景树、观赏树木、花木等比照果树标准赔偿；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3．移植、砍伐树木归原主；</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4．对于苗圃内φ＞10cm的树木按树木移栽补偿标准另行补偿；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5．葡萄树幼苗7元/棵，初果期35元/棵，盛果期60元/棵。</w:t>
      </w:r>
    </w:p>
    <w:p>
      <w:pPr>
        <w:overflowPunct w:val="0"/>
        <w:topLinePunct/>
        <w:adjustRightInd w:val="0"/>
        <w:spacing w:line="400" w:lineRule="exact"/>
        <w:ind w:left="420" w:leftChars="200" w:firstLine="980" w:firstLineChars="350"/>
        <w:rPr>
          <w:rFonts w:ascii="Times New Roman" w:hAnsi="Times New Roman" w:eastAsia="方正仿宋_GBK"/>
          <w:sz w:val="28"/>
          <w:szCs w:val="28"/>
        </w:rPr>
      </w:pPr>
      <w:r>
        <w:rPr>
          <w:rFonts w:ascii="Times New Roman" w:hAnsi="Times New Roman" w:eastAsia="方正仿宋_GBK"/>
          <w:sz w:val="28"/>
          <w:szCs w:val="28"/>
        </w:rPr>
        <w:t>（每亩幼苗超过400棵按苗圃计算）。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6．桑园、竹园补偿标准为4500元／亩。</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7．苗圃（株树密度≥400株/亩）:</w:t>
      </w:r>
      <w:r>
        <w:rPr>
          <w:rFonts w:hint="eastAsia" w:ascii="宋体" w:hAnsi="宋体" w:cs="宋体"/>
          <w:sz w:val="28"/>
          <w:szCs w:val="28"/>
        </w:rPr>
        <w:t>⑴</w:t>
      </w:r>
      <w:r>
        <w:rPr>
          <w:rFonts w:ascii="Times New Roman" w:hAnsi="Times New Roman" w:eastAsia="方正仿宋_GBK"/>
          <w:sz w:val="28"/>
          <w:szCs w:val="28"/>
        </w:rPr>
        <w:t>乔木类补偿标准为5000元/亩；</w:t>
      </w:r>
    </w:p>
    <w:p>
      <w:pPr>
        <w:overflowPunct w:val="0"/>
        <w:topLinePunct/>
        <w:adjustRightInd w:val="0"/>
        <w:spacing w:line="400" w:lineRule="exact"/>
        <w:ind w:firstLine="980" w:firstLineChars="350"/>
        <w:rPr>
          <w:rFonts w:ascii="Times New Roman" w:hAnsi="Times New Roman" w:eastAsia="方正仿宋_GBK"/>
          <w:sz w:val="28"/>
          <w:szCs w:val="28"/>
        </w:rPr>
      </w:pPr>
      <w:r>
        <w:rPr>
          <w:rFonts w:hint="eastAsia" w:ascii="宋体" w:hAnsi="宋体" w:cs="宋体"/>
          <w:sz w:val="28"/>
          <w:szCs w:val="28"/>
        </w:rPr>
        <w:t>⑵</w:t>
      </w:r>
      <w:r>
        <w:rPr>
          <w:rFonts w:ascii="Times New Roman" w:hAnsi="Times New Roman" w:eastAsia="方正仿宋_GBK"/>
          <w:sz w:val="28"/>
          <w:szCs w:val="28"/>
        </w:rPr>
        <w:t>风景树、观赏树、花木、果树等为7800元/亩。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水产养殖池塘补偿标准为3800元／亩；苇塘、藕塘补偿标准为3600元／亩。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18"/>
        <w:tblW w:w="8846" w:type="dxa"/>
        <w:jc w:val="center"/>
        <w:tblLayout w:type="fixed"/>
        <w:tblCellMar>
          <w:top w:w="0" w:type="dxa"/>
          <w:left w:w="108" w:type="dxa"/>
          <w:bottom w:w="0" w:type="dxa"/>
          <w:right w:w="108" w:type="dxa"/>
        </w:tblCellMar>
      </w:tblPr>
      <w:tblGrid>
        <w:gridCol w:w="1134"/>
        <w:gridCol w:w="2548"/>
        <w:gridCol w:w="2582"/>
        <w:gridCol w:w="2582"/>
      </w:tblGrid>
      <w:tr>
        <w:tblPrEx>
          <w:tblCellMar>
            <w:top w:w="0" w:type="dxa"/>
            <w:left w:w="108" w:type="dxa"/>
            <w:bottom w:w="0" w:type="dxa"/>
            <w:right w:w="108" w:type="dxa"/>
          </w:tblCellMar>
        </w:tblPrEx>
        <w:trPr>
          <w:wBefore w:w="0" w:type="dxa"/>
          <w:wAfter w:w="0" w:type="dxa"/>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名　称</w:t>
            </w:r>
          </w:p>
        </w:tc>
        <w:tc>
          <w:tcPr>
            <w:tcW w:w="258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单位</w:t>
            </w:r>
          </w:p>
        </w:tc>
        <w:tc>
          <w:tcPr>
            <w:tcW w:w="258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补偿价格</w:t>
            </w:r>
          </w:p>
        </w:tc>
      </w:tr>
      <w:tr>
        <w:tblPrEx>
          <w:tblCellMar>
            <w:top w:w="0" w:type="dxa"/>
            <w:left w:w="108" w:type="dxa"/>
            <w:bottom w:w="0" w:type="dxa"/>
            <w:right w:w="108" w:type="dxa"/>
          </w:tblCellMar>
        </w:tblPrEx>
        <w:trPr>
          <w:wBefore w:w="0" w:type="dxa"/>
          <w:wAfter w:w="0" w:type="dxa"/>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楷体_GBK"/>
                <w:color w:val="000000"/>
                <w:sz w:val="28"/>
                <w:szCs w:val="28"/>
              </w:rPr>
            </w:pPr>
            <w:r>
              <w:rPr>
                <w:rFonts w:ascii="Times New Roman" w:hAnsi="Times New Roman" w:eastAsia="方正楷体_GBK"/>
                <w:color w:val="000000"/>
                <w:sz w:val="28"/>
                <w:szCs w:val="28"/>
              </w:rPr>
              <w:t>青　苗</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1200</w:t>
            </w:r>
          </w:p>
        </w:tc>
      </w:tr>
      <w:tr>
        <w:tblPrEx>
          <w:tblCellMar>
            <w:top w:w="0" w:type="dxa"/>
            <w:left w:w="108" w:type="dxa"/>
            <w:bottom w:w="0" w:type="dxa"/>
            <w:right w:w="108" w:type="dxa"/>
          </w:tblCellMar>
        </w:tblPrEx>
        <w:trPr>
          <w:wBefore w:w="0" w:type="dxa"/>
          <w:wAfter w:w="0" w:type="dxa"/>
          <w:trHeight w:val="567" w:hRule="atLeast"/>
          <w:jc w:val="center"/>
        </w:trPr>
        <w:tc>
          <w:tcPr>
            <w:tcW w:w="113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中药材</w:t>
            </w: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多年生</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7500</w:t>
            </w:r>
          </w:p>
        </w:tc>
      </w:tr>
      <w:tr>
        <w:tblPrEx>
          <w:tblCellMar>
            <w:top w:w="0" w:type="dxa"/>
            <w:left w:w="108" w:type="dxa"/>
            <w:bottom w:w="0" w:type="dxa"/>
            <w:right w:w="108" w:type="dxa"/>
          </w:tblCellMar>
        </w:tblPrEx>
        <w:trPr>
          <w:wBefore w:w="0" w:type="dxa"/>
          <w:wAfter w:w="0" w:type="dxa"/>
          <w:trHeight w:val="567" w:hRule="atLeast"/>
          <w:jc w:val="center"/>
        </w:trPr>
        <w:tc>
          <w:tcPr>
            <w:tcW w:w="113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一年生</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3900</w:t>
            </w:r>
          </w:p>
        </w:tc>
      </w:tr>
      <w:tr>
        <w:tblPrEx>
          <w:tblCellMar>
            <w:top w:w="0" w:type="dxa"/>
            <w:left w:w="108" w:type="dxa"/>
            <w:bottom w:w="0" w:type="dxa"/>
            <w:right w:w="108" w:type="dxa"/>
          </w:tblCellMar>
        </w:tblPrEx>
        <w:trPr>
          <w:wBefore w:w="0" w:type="dxa"/>
          <w:wAfter w:w="0" w:type="dxa"/>
          <w:trHeight w:val="567" w:hRule="atLeast"/>
          <w:jc w:val="center"/>
        </w:trPr>
        <w:tc>
          <w:tcPr>
            <w:tcW w:w="113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大棚种植</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6500</w:t>
            </w:r>
          </w:p>
        </w:tc>
      </w:tr>
      <w:tr>
        <w:tblPrEx>
          <w:tblCellMar>
            <w:top w:w="0" w:type="dxa"/>
            <w:left w:w="108" w:type="dxa"/>
            <w:bottom w:w="0" w:type="dxa"/>
            <w:right w:w="108" w:type="dxa"/>
          </w:tblCellMar>
        </w:tblPrEx>
        <w:trPr>
          <w:wBefore w:w="0" w:type="dxa"/>
          <w:wAfter w:w="0" w:type="dxa"/>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楷体_GBK"/>
                <w:color w:val="000000"/>
                <w:sz w:val="28"/>
                <w:szCs w:val="28"/>
              </w:rPr>
            </w:pPr>
            <w:r>
              <w:rPr>
                <w:rFonts w:ascii="Times New Roman" w:hAnsi="Times New Roman" w:eastAsia="方正楷体_GBK"/>
                <w:color w:val="000000"/>
                <w:sz w:val="28"/>
                <w:szCs w:val="28"/>
              </w:rPr>
              <w:t>菜　地</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3200</w:t>
            </w:r>
          </w:p>
        </w:tc>
      </w:tr>
    </w:tbl>
    <w:p>
      <w:pPr>
        <w:overflowPunct w:val="0"/>
        <w:topLinePunct/>
        <w:adjustRightInd w:val="0"/>
        <w:spacing w:line="600" w:lineRule="exact"/>
        <w:ind w:firstLine="560" w:firstLineChars="200"/>
        <w:rPr>
          <w:rFonts w:ascii="Times New Roman" w:hAnsi="Times New Roman" w:eastAsia="方正仿宋_GBK"/>
          <w:color w:val="000000"/>
          <w:sz w:val="28"/>
          <w:szCs w:val="28"/>
        </w:rPr>
      </w:pPr>
      <w:r>
        <w:rPr>
          <w:rFonts w:ascii="Times New Roman" w:hAnsi="Times New Roman" w:eastAsia="方正仿宋_GBK"/>
          <w:color w:val="000000"/>
          <w:sz w:val="28"/>
          <w:szCs w:val="28"/>
        </w:rPr>
        <w:t>注：青苗补偿按农作物产值标准确定。</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七、养殖场搬迁补偿标准</w:t>
      </w:r>
    </w:p>
    <w:tbl>
      <w:tblPr>
        <w:tblStyle w:val="18"/>
        <w:tblW w:w="8958" w:type="dxa"/>
        <w:tblInd w:w="93" w:type="dxa"/>
        <w:tblLayout w:type="autofit"/>
        <w:tblCellMar>
          <w:top w:w="0" w:type="dxa"/>
          <w:left w:w="108" w:type="dxa"/>
          <w:bottom w:w="0" w:type="dxa"/>
          <w:right w:w="108" w:type="dxa"/>
        </w:tblCellMar>
      </w:tblPr>
      <w:tblGrid>
        <w:gridCol w:w="2386"/>
        <w:gridCol w:w="3087"/>
        <w:gridCol w:w="3485"/>
      </w:tblGrid>
      <w:tr>
        <w:tblPrEx>
          <w:tblCellMar>
            <w:top w:w="0" w:type="dxa"/>
            <w:left w:w="108" w:type="dxa"/>
            <w:bottom w:w="0" w:type="dxa"/>
            <w:right w:w="108" w:type="dxa"/>
          </w:tblCellMar>
        </w:tblPrEx>
        <w:trPr>
          <w:trHeight w:val="567" w:hRule="atLeast"/>
        </w:trPr>
        <w:tc>
          <w:tcPr>
            <w:tcW w:w="238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类　别</w:t>
            </w:r>
          </w:p>
        </w:tc>
        <w:tc>
          <w:tcPr>
            <w:tcW w:w="308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规　模</w:t>
            </w:r>
          </w:p>
        </w:tc>
        <w:tc>
          <w:tcPr>
            <w:tcW w:w="3485"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补偿标准（元）</w:t>
            </w:r>
          </w:p>
        </w:tc>
      </w:tr>
      <w:tr>
        <w:tblPrEx>
          <w:tblCellMar>
            <w:top w:w="0" w:type="dxa"/>
            <w:left w:w="108" w:type="dxa"/>
            <w:bottom w:w="0" w:type="dxa"/>
            <w:right w:w="108" w:type="dxa"/>
          </w:tblCellMar>
        </w:tblPrEx>
        <w:trPr>
          <w:trHeight w:val="567" w:hRule="atLeast"/>
        </w:trPr>
        <w:tc>
          <w:tcPr>
            <w:tcW w:w="23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家禽类</w:t>
            </w: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不予补偿</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30只－200只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1000</w:t>
            </w:r>
          </w:p>
        </w:tc>
      </w:tr>
      <w:tr>
        <w:tblPrEx>
          <w:tblCellMar>
            <w:top w:w="0" w:type="dxa"/>
            <w:left w:w="108" w:type="dxa"/>
            <w:bottom w:w="0" w:type="dxa"/>
            <w:right w:w="108" w:type="dxa"/>
          </w:tblCellMar>
        </w:tblPrEx>
        <w:trPr>
          <w:trHeight w:val="567" w:hRule="atLeast"/>
        </w:trPr>
        <w:tc>
          <w:tcPr>
            <w:tcW w:w="23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家畜类</w:t>
            </w: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不予补偿</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10头－50头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50头－200头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1000-1500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2000</w:t>
            </w:r>
          </w:p>
        </w:tc>
      </w:tr>
    </w:tbl>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outlineLvl w:val="3"/>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附件2</w:t>
      </w:r>
    </w:p>
    <w:p>
      <w:pPr>
        <w:overflowPunct w:val="0"/>
        <w:topLinePunct/>
        <w:adjustRightInd w:val="0"/>
        <w:spacing w:line="600" w:lineRule="exact"/>
        <w:ind w:firstLine="640" w:firstLineChars="200"/>
        <w:outlineLvl w:val="3"/>
        <w:rPr>
          <w:rFonts w:ascii="Times New Roman" w:hAnsi="Times New Roman" w:eastAsia="方正仿宋_GBK"/>
          <w:color w:val="000000"/>
          <w:kern w:val="0"/>
          <w:sz w:val="32"/>
          <w:szCs w:val="32"/>
        </w:rPr>
      </w:pPr>
    </w:p>
    <w:p>
      <w:pPr>
        <w:overflowPunct w:val="0"/>
        <w:topLinePunct/>
        <w:adjustRightInd w:val="0"/>
        <w:snapToGrid w:val="0"/>
        <w:spacing w:line="60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砀山县被征土地青苗及地上附着物补偿标准</w:t>
      </w:r>
    </w:p>
    <w:p>
      <w:pPr>
        <w:overflowPunct w:val="0"/>
        <w:topLinePunct/>
        <w:adjustRightInd w:val="0"/>
        <w:snapToGrid w:val="0"/>
        <w:spacing w:line="600" w:lineRule="exact"/>
        <w:ind w:firstLine="640" w:firstLineChars="200"/>
        <w:rPr>
          <w:rFonts w:ascii="Times New Roman" w:hAnsi="Times New Roman" w:eastAsia="方正仿宋_GBK"/>
          <w:bCs/>
          <w:color w:val="000000"/>
          <w:kern w:val="0"/>
          <w:sz w:val="32"/>
          <w:szCs w:val="32"/>
        </w:rPr>
      </w:pPr>
    </w:p>
    <w:p>
      <w:pPr>
        <w:overflowPunct w:val="0"/>
        <w:topLinePunct/>
        <w:adjustRightInd w:val="0"/>
        <w:snapToGrid w:val="0"/>
        <w:spacing w:line="60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bCs/>
          <w:color w:val="000000"/>
          <w:kern w:val="0"/>
          <w:sz w:val="32"/>
          <w:szCs w:val="32"/>
        </w:rPr>
        <w:t>一、居住房屋及附属物补偿标准表</w:t>
      </w:r>
    </w:p>
    <w:p>
      <w:pPr>
        <w:overflowPunct w:val="0"/>
        <w:topLinePunct/>
        <w:adjustRightInd w:val="0"/>
        <w:snapToGrid w:val="0"/>
        <w:spacing w:after="120" w:afterLines="50"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（一）拆迁房屋重置价格参照表。</w:t>
      </w:r>
    </w:p>
    <w:tbl>
      <w:tblPr>
        <w:tblStyle w:val="18"/>
        <w:tblW w:w="8900" w:type="dxa"/>
        <w:jc w:val="center"/>
        <w:tblLayout w:type="fixed"/>
        <w:tblCellMar>
          <w:top w:w="28" w:type="dxa"/>
          <w:left w:w="57" w:type="dxa"/>
          <w:bottom w:w="28" w:type="dxa"/>
          <w:right w:w="57" w:type="dxa"/>
        </w:tblCellMar>
      </w:tblPr>
      <w:tblGrid>
        <w:gridCol w:w="625"/>
        <w:gridCol w:w="622"/>
        <w:gridCol w:w="6521"/>
        <w:gridCol w:w="1132"/>
      </w:tblGrid>
      <w:tr>
        <w:tblPrEx>
          <w:tblCellMar>
            <w:top w:w="28" w:type="dxa"/>
            <w:left w:w="57" w:type="dxa"/>
            <w:bottom w:w="28" w:type="dxa"/>
            <w:right w:w="57" w:type="dxa"/>
          </w:tblCellMar>
        </w:tblPrEx>
        <w:trPr>
          <w:wBefore w:w="0" w:type="dxa"/>
          <w:wAfter w:w="0" w:type="dxa"/>
          <w:trHeight w:val="567"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类别</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等级</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结　构　设　备</w:t>
            </w: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（元/</w:t>
            </w:r>
            <w:r>
              <w:rPr>
                <w:rFonts w:ascii="Times New Roman" w:hAnsi="Times New Roman" w:eastAsia="方正黑体_GBK"/>
                <w:kern w:val="0"/>
                <w:sz w:val="28"/>
                <w:szCs w:val="28"/>
              </w:rPr>
              <w:t>㎡</w:t>
            </w:r>
            <w:r>
              <w:rPr>
                <w:rFonts w:ascii="Times New Roman" w:hAnsi="Times New Roman" w:eastAsia="方正黑体_GBK"/>
                <w:bCs/>
                <w:color w:val="000000"/>
                <w:kern w:val="0"/>
                <w:sz w:val="28"/>
                <w:szCs w:val="28"/>
              </w:rPr>
              <w:t>）</w:t>
            </w:r>
          </w:p>
        </w:tc>
      </w:tr>
      <w:tr>
        <w:tblPrEx>
          <w:tblCellMar>
            <w:top w:w="28" w:type="dxa"/>
            <w:left w:w="57" w:type="dxa"/>
            <w:bottom w:w="28" w:type="dxa"/>
            <w:right w:w="57" w:type="dxa"/>
          </w:tblCellMar>
        </w:tblPrEx>
        <w:trPr>
          <w:wBefore w:w="0" w:type="dxa"/>
          <w:wAfter w:w="0" w:type="dxa"/>
          <w:trHeight w:val="567" w:hRule="atLeast"/>
          <w:jc w:val="center"/>
        </w:trPr>
        <w:tc>
          <w:tcPr>
            <w:tcW w:w="12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框架</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梁柱承重，现浇屋面，铝塑门窗，高级粉刷，水电卫齐全。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1060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砖混</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砖墙，钢筋混凝土梁承重，层层设置圈梁和构造柱，现浇屋面，铝塑门窗，高级粉刷，水电卫齐全。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920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砖墙承重，设置圈梁或构造柱，多孔板屋面，标准木门窗一玻一纱，中级粉刷，水电卫齐全。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850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或</w:t>
            </w:r>
            <w:r>
              <w:rPr>
                <w:rStyle w:val="39"/>
                <w:rFonts w:eastAsia="方正仿宋_GBK"/>
                <w:sz w:val="28"/>
                <w:szCs w:val="28"/>
              </w:rPr>
              <w:t>180</w:t>
            </w:r>
            <w:r>
              <w:rPr>
                <w:rStyle w:val="43"/>
                <w:rFonts w:hint="default" w:ascii="Times New Roman" w:hAnsi="Times New Roman" w:eastAsia="方正仿宋_GBK" w:cs="Times New Roman"/>
              </w:rPr>
              <w:t>砖墙或土墙，无圈梁或构造柱，预制水泥桁条，简易屋面，非标准门窗，普通粉刷，水电齐全。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750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砖木</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砖墙，瓦屋面，木桁条，标准门窗，水泥地坪，水电卫齐全，外墙粉刷。</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750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或</w:t>
            </w:r>
            <w:r>
              <w:rPr>
                <w:rStyle w:val="39"/>
                <w:rFonts w:eastAsia="方正仿宋_GBK"/>
                <w:sz w:val="28"/>
                <w:szCs w:val="28"/>
              </w:rPr>
              <w:t>180</w:t>
            </w:r>
            <w:r>
              <w:rPr>
                <w:rStyle w:val="43"/>
                <w:rFonts w:hint="default" w:ascii="Times New Roman" w:hAnsi="Times New Roman" w:eastAsia="方正仿宋_GBK" w:cs="Times New Roman"/>
              </w:rPr>
              <w:t>砖墙，瓦屋面，木桁条或预制桁条，标准门窗，水泥地坪，水电齐全，清水墙。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640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43"/>
                <w:rFonts w:hint="default" w:ascii="Times New Roman" w:hAnsi="Times New Roman" w:eastAsia="方正仿宋_GBK" w:cs="Times New Roman"/>
              </w:rPr>
              <w:t>或</w:t>
            </w:r>
            <w:r>
              <w:rPr>
                <w:rStyle w:val="39"/>
                <w:rFonts w:eastAsia="方正仿宋_GBK"/>
                <w:sz w:val="28"/>
                <w:szCs w:val="28"/>
              </w:rPr>
              <w:t>180</w:t>
            </w:r>
            <w:r>
              <w:rPr>
                <w:rStyle w:val="43"/>
                <w:rFonts w:hint="default" w:ascii="Times New Roman" w:hAnsi="Times New Roman" w:eastAsia="方正仿宋_GBK" w:cs="Times New Roman"/>
              </w:rPr>
              <w:t>砖墙或土墙，简易屋面，非标准门窗，水电齐全。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580</w:t>
            </w:r>
          </w:p>
        </w:tc>
      </w:tr>
      <w:tr>
        <w:tblPrEx>
          <w:tblCellMar>
            <w:top w:w="28" w:type="dxa"/>
            <w:left w:w="57" w:type="dxa"/>
            <w:bottom w:w="28" w:type="dxa"/>
            <w:right w:w="57" w:type="dxa"/>
          </w:tblCellMar>
        </w:tblPrEx>
        <w:trPr>
          <w:wBefore w:w="0" w:type="dxa"/>
          <w:wAfter w:w="0" w:type="dxa"/>
          <w:trHeight w:val="567" w:hRule="atLeast"/>
          <w:jc w:val="center"/>
        </w:trPr>
        <w:tc>
          <w:tcPr>
            <w:tcW w:w="12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其他结构房屋</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低于砖木三等以下的标准房屋。</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楷体_GBK"/>
                <w:color w:val="000000"/>
                <w:spacing w:val="-8"/>
                <w:w w:val="88"/>
                <w:kern w:val="0"/>
                <w:sz w:val="28"/>
                <w:szCs w:val="28"/>
              </w:rPr>
            </w:pPr>
            <w:r>
              <w:rPr>
                <w:rFonts w:ascii="Times New Roman" w:hAnsi="Times New Roman" w:eastAsia="方正楷体_GBK"/>
                <w:color w:val="000000"/>
                <w:spacing w:val="-8"/>
                <w:w w:val="88"/>
                <w:kern w:val="0"/>
                <w:sz w:val="28"/>
                <w:szCs w:val="28"/>
              </w:rPr>
              <w:t>厂房、</w:t>
            </w:r>
          </w:p>
          <w:p>
            <w:pPr>
              <w:overflowPunct w:val="0"/>
              <w:topLinePunct/>
              <w:adjustRightInd w:val="0"/>
              <w:spacing w:line="36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仓库</w:t>
            </w: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w:t>
            </w:r>
            <w:r>
              <w:rPr>
                <w:rStyle w:val="39"/>
                <w:rFonts w:eastAsia="方正仿宋_GBK"/>
                <w:sz w:val="28"/>
                <w:szCs w:val="28"/>
              </w:rPr>
              <w:t>4m</w:t>
            </w:r>
            <w:r>
              <w:rPr>
                <w:rStyle w:val="43"/>
                <w:rFonts w:hint="default" w:ascii="Times New Roman" w:hAnsi="Times New Roman" w:eastAsia="方正仿宋_GBK" w:cs="Times New Roman"/>
              </w:rPr>
              <w:t>、空心板顶、砖墙。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570</w:t>
            </w:r>
          </w:p>
        </w:tc>
      </w:tr>
      <w:tr>
        <w:tblPrEx>
          <w:tblCellMar>
            <w:top w:w="28" w:type="dxa"/>
            <w:left w:w="57" w:type="dxa"/>
            <w:bottom w:w="28" w:type="dxa"/>
            <w:right w:w="57" w:type="dxa"/>
          </w:tblCellMar>
        </w:tblPrEx>
        <w:trPr>
          <w:wBefore w:w="0" w:type="dxa"/>
          <w:wAfter w:w="0" w:type="dxa"/>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仿宋_GBK"/>
                <w:color w:val="000000"/>
                <w:sz w:val="28"/>
                <w:szCs w:val="28"/>
              </w:rPr>
            </w:pP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w:t>
            </w:r>
            <w:r>
              <w:rPr>
                <w:rStyle w:val="39"/>
                <w:rFonts w:eastAsia="方正仿宋_GBK"/>
                <w:sz w:val="28"/>
                <w:szCs w:val="28"/>
              </w:rPr>
              <w:t>4m</w:t>
            </w:r>
            <w:r>
              <w:rPr>
                <w:rStyle w:val="43"/>
                <w:rFonts w:hint="default" w:ascii="Times New Roman" w:hAnsi="Times New Roman" w:eastAsia="方正仿宋_GBK" w:cs="Times New Roman"/>
              </w:rPr>
              <w:t>、石棉瓦顶、砖墙。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450</w:t>
            </w:r>
          </w:p>
        </w:tc>
      </w:tr>
      <w:tr>
        <w:tblPrEx>
          <w:tblCellMar>
            <w:top w:w="28" w:type="dxa"/>
            <w:left w:w="57" w:type="dxa"/>
            <w:bottom w:w="28" w:type="dxa"/>
            <w:right w:w="57" w:type="dxa"/>
          </w:tblCellMar>
        </w:tblPrEx>
        <w:trPr>
          <w:wBefore w:w="0" w:type="dxa"/>
          <w:wAfter w:w="0" w:type="dxa"/>
          <w:trHeight w:val="567" w:hRule="atLeast"/>
          <w:jc w:val="center"/>
        </w:trPr>
        <w:tc>
          <w:tcPr>
            <w:tcW w:w="124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房基</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有砖石基础，有钢筋砼圈梁。</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r>
      <w:tr>
        <w:tblPrEx>
          <w:tblCellMar>
            <w:top w:w="28" w:type="dxa"/>
            <w:left w:w="57" w:type="dxa"/>
            <w:bottom w:w="28" w:type="dxa"/>
            <w:right w:w="57" w:type="dxa"/>
          </w:tblCellMar>
        </w:tblPrEx>
        <w:trPr>
          <w:wBefore w:w="0" w:type="dxa"/>
          <w:wAfter w:w="0" w:type="dxa"/>
          <w:trHeight w:val="567" w:hRule="atLeast"/>
          <w:jc w:val="center"/>
        </w:trPr>
        <w:tc>
          <w:tcPr>
            <w:tcW w:w="124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有砖石基础，无圈梁。</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overflowPunct w:val="0"/>
        <w:topLinePunct/>
        <w:adjustRightInd w:val="0"/>
        <w:snapToGrid w:val="0"/>
        <w:spacing w:line="57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（二）搬迁补助费、临时安置费和停产停业损失费。</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1．搬迁补助费：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w:t>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t>住宅房：</w:t>
      </w:r>
      <w:r>
        <w:rPr>
          <w:rFonts w:ascii="Times New Roman" w:hAnsi="Times New Roman" w:eastAsia="方正仿宋_GBK"/>
          <w:sz w:val="32"/>
          <w:szCs w:val="32"/>
        </w:rPr>
        <w:t>按被拆迁房屋建筑面积</w:t>
      </w:r>
      <w:r>
        <w:rPr>
          <w:rFonts w:ascii="Times New Roman" w:hAnsi="Times New Roman" w:eastAsia="方正仿宋_GBK"/>
          <w:color w:val="000000"/>
          <w:kern w:val="0"/>
          <w:sz w:val="32"/>
          <w:szCs w:val="32"/>
        </w:rPr>
        <w:t>5元/平方米计算，最低不低于300元/户，一次性发给搬迁费。</w:t>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t>非住宅房：参照住宅房标准执行，特殊情况的由专业评估机构评估确定。</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以现房安置的，按上述规定支付一次搬迁费。</w:t>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t>以期房安置的，按上述规定支付两次搬迁费。</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2．临时安置补助费：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w:t>
      </w:r>
      <w:r>
        <w:rPr>
          <w:rFonts w:ascii="Times New Roman" w:hAnsi="Times New Roman" w:eastAsia="方正仿宋_GBK"/>
          <w:sz w:val="32"/>
          <w:szCs w:val="32"/>
        </w:rPr>
        <w:t>按被拆迁房屋建筑面积</w:t>
      </w:r>
      <w:r>
        <w:rPr>
          <w:rFonts w:ascii="Times New Roman" w:hAnsi="Times New Roman" w:eastAsia="方正仿宋_GBK"/>
          <w:color w:val="000000"/>
          <w:kern w:val="0"/>
          <w:sz w:val="32"/>
          <w:szCs w:val="32"/>
        </w:rPr>
        <w:t>5元/平方米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（2）实行产权调换，过渡期不超过36个月。</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以现房安置的，按上述规定计发3个月；</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2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以期房安置被征收人自行过渡的，过渡费按合同约定支付，超过过渡期限的，按双倍支付。</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3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③</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房屋</w:t>
      </w:r>
      <w:r>
        <w:rPr>
          <w:rFonts w:ascii="Times New Roman" w:hAnsi="Times New Roman" w:eastAsia="方正仿宋_GBK"/>
          <w:color w:val="000000"/>
          <w:spacing w:val="-6"/>
          <w:kern w:val="0"/>
          <w:sz w:val="32"/>
          <w:szCs w:val="32"/>
        </w:rPr>
        <w:t>征收部门提供周转用房的，不再支付临时安置补助费;但超过合同期限未安置的，自逾期之日起计发临时安置补助费，直至兑现为止。</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3．非住宅房屋停产、停业补偿费：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（1）实行货币补偿的，商业用房：按15-30元/平方米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月计，发3个月。工业、仓储用房：按12元/平方米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（2）实行产权调换的：</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以现房安置或房屋征收部门提供周转用房的，不再支付停产停业损失费；</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2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以期房安置被征收入自行过渡的，从搬迁之日起至被安置之日止，按上述规定发给停产停业损失费。</w:t>
      </w:r>
    </w:p>
    <w:p>
      <w:pPr>
        <w:overflowPunct w:val="0"/>
        <w:topLinePunct/>
        <w:adjustRightInd w:val="0"/>
        <w:snapToGrid w:val="0"/>
        <w:spacing w:line="600" w:lineRule="exact"/>
        <w:ind w:firstLine="640" w:firstLineChars="200"/>
        <w:rPr>
          <w:rFonts w:ascii="Times New Roman" w:hAnsi="Times New Roman" w:eastAsia="方正楷体_GBK"/>
          <w:b/>
          <w:bCs/>
          <w:color w:val="000000"/>
          <w:kern w:val="0"/>
          <w:sz w:val="32"/>
          <w:szCs w:val="32"/>
        </w:rPr>
      </w:pPr>
      <w:r>
        <w:rPr>
          <w:rFonts w:ascii="Times New Roman" w:hAnsi="Times New Roman" w:eastAsia="方正楷体_GBK"/>
          <w:color w:val="000000"/>
          <w:kern w:val="0"/>
          <w:sz w:val="32"/>
          <w:szCs w:val="32"/>
        </w:rPr>
        <w:t>（三）各类附属物补偿价格参照表。</w:t>
      </w:r>
    </w:p>
    <w:tbl>
      <w:tblPr>
        <w:tblStyle w:val="18"/>
        <w:tblW w:w="8868" w:type="dxa"/>
        <w:jc w:val="center"/>
        <w:tblLayout w:type="fixed"/>
        <w:tblCellMar>
          <w:top w:w="28" w:type="dxa"/>
          <w:left w:w="57" w:type="dxa"/>
          <w:bottom w:w="28" w:type="dxa"/>
          <w:right w:w="57" w:type="dxa"/>
        </w:tblCellMar>
      </w:tblPr>
      <w:tblGrid>
        <w:gridCol w:w="1373"/>
        <w:gridCol w:w="3118"/>
        <w:gridCol w:w="780"/>
        <w:gridCol w:w="921"/>
        <w:gridCol w:w="1418"/>
        <w:gridCol w:w="1258"/>
      </w:tblGrid>
      <w:tr>
        <w:tblPrEx>
          <w:tblCellMar>
            <w:top w:w="28" w:type="dxa"/>
            <w:left w:w="57" w:type="dxa"/>
            <w:bottom w:w="28" w:type="dxa"/>
            <w:right w:w="57" w:type="dxa"/>
          </w:tblCellMar>
        </w:tblPrEx>
        <w:trPr>
          <w:wBefore w:w="0" w:type="dxa"/>
          <w:wAfter w:w="0" w:type="dxa"/>
          <w:trHeight w:val="595" w:hRule="atLeast"/>
          <w:tblHeader/>
          <w:jc w:val="center"/>
        </w:trPr>
        <w:tc>
          <w:tcPr>
            <w:tcW w:w="4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　位</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单价（元）</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　注</w:t>
            </w: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冷暖设施</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柜　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补助费</w:t>
            </w: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分体式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窗　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66</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中央空调</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KW</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暖气片</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片</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地　暖</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Style w:val="38"/>
                <w:rFonts w:hint="default" w:ascii="Times New Roman" w:hAnsi="Times New Roman" w:eastAsia="方正楷体_GBK" w:cs="Times New Roman"/>
                <w:sz w:val="28"/>
                <w:szCs w:val="28"/>
              </w:rPr>
              <w:t>热水器</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太阳能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220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补助费</w:t>
            </w: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电　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燃　气</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空气能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水电气</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水龙头</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4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资费标准执行</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水　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电　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管道燃气</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三相电户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通　讯</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话</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部</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有线电视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595"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宽　带</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门</w:t>
            </w:r>
          </w:p>
        </w:tc>
        <w:tc>
          <w:tcPr>
            <w:tcW w:w="14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bookmarkStart w:id="2" w:name="_GoBack"/>
            <w:r>
              <w:rPr>
                <w:rFonts w:ascii="Times New Roman" w:hAnsi="Times New Roman" w:eastAsia="方正楷体_GBK"/>
                <w:color w:val="000000"/>
                <w:kern w:val="0"/>
                <w:sz w:val="28"/>
                <w:szCs w:val="28"/>
              </w:rPr>
              <w:t>厨　房</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灶　台</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bookmarkEnd w:id="2"/>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抽油烟机</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菜　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橱　柜</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净水设备</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套</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卫生设施</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卫生设施浴缸</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套</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坐便器</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420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蹲便器</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洗脸池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浴　霸</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化粪池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300-400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Style w:val="38"/>
                <w:rFonts w:hint="default" w:ascii="Times New Roman" w:hAnsi="Times New Roman" w:eastAsia="方正楷体_GBK" w:cs="Times New Roman"/>
                <w:sz w:val="28"/>
                <w:szCs w:val="28"/>
              </w:rPr>
              <w:t>室外地坪</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水　泥</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砖　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27</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Style w:val="38"/>
                <w:rFonts w:hint="default" w:ascii="Times New Roman" w:hAnsi="Times New Roman" w:eastAsia="方正楷体_GBK" w:cs="Times New Roman"/>
                <w:sz w:val="28"/>
                <w:szCs w:val="28"/>
              </w:rPr>
              <w:t>院　墙</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砖　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补偿费</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（水泥抹面增加</w:t>
            </w:r>
            <w:r>
              <w:rPr>
                <w:rFonts w:ascii="Times New Roman" w:hAnsi="Times New Roman" w:eastAsia="方正仿宋_GBK"/>
                <w:color w:val="000000"/>
                <w:kern w:val="0"/>
                <w:sz w:val="28"/>
                <w:szCs w:val="28"/>
              </w:rPr>
              <w:t>10</w:t>
            </w:r>
            <w:r>
              <w:rPr>
                <w:rStyle w:val="38"/>
                <w:rFonts w:hint="default" w:ascii="Times New Roman" w:hAnsi="Times New Roman" w:eastAsia="方正仿宋_GBK" w:cs="Times New Roman"/>
                <w:sz w:val="28"/>
                <w:szCs w:val="28"/>
              </w:rPr>
              <w:t>元</w:t>
            </w:r>
            <w:r>
              <w:rPr>
                <w:rFonts w:ascii="Times New Roman" w:hAnsi="Times New Roman" w:eastAsia="方正仿宋_GBK"/>
                <w:color w:val="000000"/>
                <w:kern w:val="0"/>
                <w:sz w:val="28"/>
                <w:szCs w:val="28"/>
              </w:rPr>
              <w:t>/</w:t>
            </w:r>
            <w:r>
              <w:rPr>
                <w:rFonts w:ascii="Times New Roman" w:hAnsi="Times New Roman" w:eastAsia="方正仿宋_GBK"/>
                <w:kern w:val="0"/>
                <w:sz w:val="28"/>
                <w:szCs w:val="28"/>
              </w:rPr>
              <w:t>㎡</w:t>
            </w:r>
            <w:r>
              <w:rPr>
                <w:rStyle w:val="38"/>
                <w:rFonts w:hint="default" w:ascii="Times New Roman" w:hAnsi="Times New Roman" w:eastAsia="方正仿宋_GBK" w:cs="Times New Roman"/>
                <w:sz w:val="28"/>
                <w:szCs w:val="28"/>
              </w:rPr>
              <w:t>）</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砖　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土砖土石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院墙大门</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sz w:val="28"/>
                <w:szCs w:val="28"/>
              </w:rPr>
            </w:pPr>
            <w:r>
              <w:rPr>
                <w:rFonts w:ascii="Times New Roman" w:hAnsi="Times New Roman" w:eastAsia="方正仿宋_GBK"/>
                <w:color w:val="000000"/>
                <w:kern w:val="0"/>
                <w:sz w:val="28"/>
                <w:szCs w:val="28"/>
              </w:rPr>
              <w:t>木制</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樘单</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jc w:val="center"/>
              <w:rPr>
                <w:rFonts w:ascii="Times New Roman" w:hAnsi="Times New Roman" w:eastAsia="方正仿宋_GBK"/>
                <w:color w:val="000000"/>
                <w:sz w:val="28"/>
                <w:szCs w:val="28"/>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sz w:val="28"/>
                <w:szCs w:val="28"/>
              </w:rPr>
            </w:pP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樘双</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sz w:val="28"/>
                <w:szCs w:val="28"/>
              </w:rPr>
            </w:pPr>
            <w:r>
              <w:rPr>
                <w:rStyle w:val="38"/>
                <w:rFonts w:hint="default" w:ascii="Times New Roman" w:hAnsi="Times New Roman" w:eastAsia="方正楷体_GBK" w:cs="Times New Roman"/>
                <w:sz w:val="28"/>
                <w:szCs w:val="28"/>
              </w:rPr>
              <w:t>院　墙</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院墙大门</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铁制</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樘单</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jc w:val="center"/>
              <w:rPr>
                <w:rFonts w:ascii="Times New Roman" w:hAnsi="Times New Roman" w:eastAsia="方正仿宋_GBK"/>
                <w:color w:val="000000"/>
                <w:sz w:val="28"/>
                <w:szCs w:val="28"/>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sz w:val="28"/>
                <w:szCs w:val="28"/>
              </w:rPr>
            </w:pP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樘双</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楷体_GBK" w:cs="Times New Roman"/>
                <w:sz w:val="28"/>
                <w:szCs w:val="28"/>
              </w:rPr>
            </w:pPr>
            <w:r>
              <w:rPr>
                <w:rStyle w:val="38"/>
                <w:rFonts w:hint="default" w:ascii="Times New Roman" w:hAnsi="Times New Roman" w:eastAsia="方正楷体_GBK" w:cs="Times New Roman"/>
                <w:sz w:val="28"/>
                <w:szCs w:val="28"/>
              </w:rPr>
              <w:t>其　他</w:t>
            </w:r>
          </w:p>
        </w:tc>
        <w:tc>
          <w:tcPr>
            <w:tcW w:w="3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门　楼</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简易</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400-600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浇筑</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1500-2500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地　锅</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水　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沼气池（水泥）</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手压水井</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遮阳棚</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80-120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简易棚（无围护栏）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铁栏杆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不锈钢栏杆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木质栏杆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Style w:val="38"/>
                <w:rFonts w:hint="default" w:ascii="Times New Roman" w:hAnsi="Times New Roman" w:eastAsia="方正仿宋_GBK" w:cs="Times New Roman"/>
                <w:sz w:val="28"/>
                <w:szCs w:val="28"/>
              </w:rPr>
            </w:pPr>
            <w:r>
              <w:rPr>
                <w:rStyle w:val="38"/>
                <w:rFonts w:hint="default" w:ascii="Times New Roman" w:hAnsi="Times New Roman" w:eastAsia="方正仿宋_GBK" w:cs="Times New Roman"/>
                <w:sz w:val="28"/>
                <w:szCs w:val="28"/>
              </w:rPr>
              <w:t>下水道</w:t>
            </w:r>
          </w:p>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（砖砌深</w:t>
            </w:r>
            <w:r>
              <w:rPr>
                <w:rFonts w:ascii="Times New Roman" w:hAnsi="Times New Roman" w:eastAsia="方正仿宋_GBK"/>
                <w:color w:val="000000"/>
                <w:kern w:val="0"/>
                <w:sz w:val="28"/>
                <w:szCs w:val="28"/>
              </w:rPr>
              <w:t>0.6</w:t>
            </w:r>
            <w:r>
              <w:rPr>
                <w:rStyle w:val="38"/>
                <w:rFonts w:hint="default" w:ascii="Times New Roman" w:hAnsi="Times New Roman" w:eastAsia="方正仿宋_GBK" w:cs="Times New Roman"/>
                <w:sz w:val="28"/>
                <w:szCs w:val="28"/>
              </w:rPr>
              <w:t>米以上）</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38"/>
                <w:rFonts w:hint="default" w:ascii="Times New Roman" w:hAnsi="Times New Roman" w:eastAsia="方正仿宋_GBK" w:cs="Times New Roman"/>
                <w:sz w:val="28"/>
                <w:szCs w:val="28"/>
              </w:rPr>
              <w:t>广告牌（普通）、灯箱</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70-100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主机式监控摄像头</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wBefore w:w="0" w:type="dxa"/>
          <w:wAfter w:w="0" w:type="dxa"/>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ind w:left="210" w:leftChars="100"/>
              <w:jc w:val="lef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分布式太阳能光伏电站</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初装费的80%</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bl>
    <w:p>
      <w:pPr>
        <w:overflowPunct w:val="0"/>
        <w:topLinePunct/>
        <w:adjustRightInd w:val="0"/>
        <w:snapToGrid w:val="0"/>
        <w:spacing w:line="600" w:lineRule="exact"/>
        <w:ind w:firstLine="643" w:firstLineChars="200"/>
        <w:rPr>
          <w:rFonts w:ascii="Times New Roman" w:hAnsi="Times New Roman" w:eastAsia="方正楷体_GBK"/>
          <w:b/>
          <w:bCs/>
          <w:color w:val="000000"/>
          <w:kern w:val="0"/>
          <w:sz w:val="32"/>
          <w:szCs w:val="32"/>
        </w:rPr>
      </w:pPr>
      <w:r>
        <w:rPr>
          <w:rFonts w:ascii="Times New Roman" w:hAnsi="Times New Roman" w:eastAsia="方正楷体_GBK"/>
          <w:b/>
          <w:bCs/>
          <w:color w:val="000000"/>
          <w:kern w:val="0"/>
          <w:sz w:val="32"/>
          <w:szCs w:val="32"/>
        </w:rPr>
        <w:br w:type="page"/>
      </w:r>
      <w:r>
        <w:rPr>
          <w:rFonts w:ascii="Times New Roman" w:hAnsi="Times New Roman" w:eastAsia="方正楷体_GBK"/>
          <w:color w:val="000000"/>
          <w:kern w:val="0"/>
          <w:sz w:val="32"/>
          <w:szCs w:val="32"/>
        </w:rPr>
        <w:t>（四）各类装潢补偿价格参照表。</w:t>
      </w:r>
    </w:p>
    <w:tbl>
      <w:tblPr>
        <w:tblStyle w:val="18"/>
        <w:tblW w:w="8837" w:type="dxa"/>
        <w:jc w:val="center"/>
        <w:tblLayout w:type="fixed"/>
        <w:tblCellMar>
          <w:top w:w="28" w:type="dxa"/>
          <w:left w:w="57" w:type="dxa"/>
          <w:bottom w:w="28" w:type="dxa"/>
          <w:right w:w="57" w:type="dxa"/>
        </w:tblCellMar>
      </w:tblPr>
      <w:tblGrid>
        <w:gridCol w:w="1358"/>
        <w:gridCol w:w="2268"/>
        <w:gridCol w:w="992"/>
        <w:gridCol w:w="2126"/>
        <w:gridCol w:w="2093"/>
      </w:tblGrid>
      <w:tr>
        <w:tblPrEx>
          <w:tblCellMar>
            <w:top w:w="28" w:type="dxa"/>
            <w:left w:w="57" w:type="dxa"/>
            <w:bottom w:w="28" w:type="dxa"/>
            <w:right w:w="57" w:type="dxa"/>
          </w:tblCellMar>
        </w:tblPrEx>
        <w:trPr>
          <w:wBefore w:w="0" w:type="dxa"/>
          <w:wAfter w:w="0" w:type="dxa"/>
          <w:trHeight w:val="567" w:hRule="atLeast"/>
          <w:tblHeader/>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w:t>
            </w:r>
            <w:r>
              <w:rPr>
                <w:rFonts w:ascii="Times New Roman" w:hAnsi="Times New Roman" w:eastAsia="方正黑体_GBK"/>
                <w:kern w:val="0"/>
                <w:sz w:val="28"/>
                <w:szCs w:val="28"/>
              </w:rPr>
              <w:t>称</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补偿标准（元）</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w:t>
            </w:r>
            <w:r>
              <w:rPr>
                <w:rFonts w:ascii="Times New Roman" w:hAnsi="Times New Roman" w:eastAsia="方正黑体_GBK"/>
                <w:kern w:val="0"/>
                <w:sz w:val="28"/>
                <w:szCs w:val="28"/>
              </w:rPr>
              <w:t>注</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60-120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200-245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简易防盗门</w:t>
            </w:r>
          </w:p>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（自焊）：200-300</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45-70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喷　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60-80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w:t>
            </w:r>
          </w:p>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固定墙柜</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130-300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夹心板房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钢瓦顶房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乳胶漆</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真石漆</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壁　纸</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纸质壁纸</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　布</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墙面软包</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　段</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铝合金隔段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wBefore w:w="0" w:type="dxa"/>
          <w:wAfter w:w="0" w:type="dxa"/>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玻璃隔段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2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240" w:beforeLines="100"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1．商业用房、其他非住宅</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2．住宅</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二、非居住房屋及附属物</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（一）标准猪、鸡、鸭舍。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（二）简易猪舍。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简易结构棚房，檐高1.8米左右（檐高浮动范围为±20厘米），墙体为二四墙，清水内外墙，室内水泥地面，石棉瓦坡屋顶，木门窗，简易供电、供水。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（三）简易鸡房、鸭房。</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简易结构，檐高1.2米左右（檐高浮动范围为±20厘米），墙体为二四墙，清水内外墙，砖地面，石棉瓦或木板屋顶，木门窗。</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（四）羊舍。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檐高1.8米左右（檐高浮动范围为±20厘米），三面清水砖墙，石棉瓦顶棚，内部水泥地面。</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（五）简易牛棚。</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钢管支架，无维护结构，石棉瓦顶，高3米，水泥地面。</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（六）简屋。</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简易结构，檐高2.0米左右（檐高浮动范围为±20厘米），墙体为二四墙，清水内外墙，平砖或土地面，石棉瓦顶，无供电、供水。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（七）厕所。</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（八）简易厕所。</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砖木结构，檐高2.0米左右（檐高浮动范围为±20厘米），墙体为二四墙，外墙清水，内墙水泥抹灰，水泥地面，石棉瓦顶。</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（九）温室、大棚。</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普通塑料大棚：拱形，高约2米，内部竹竿骨架，覆盖材料为单层无滴塑料薄膜。</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（十）围墙。</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包括：水泥抹灰砖墙、清水砖墙、土坯墙。</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（十一）场地。</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包括：泥结碎石、素混凝土（200毫米）、砖地面（立砖）、砖地面（平砖）。</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（十二）道路。</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包括：泥结泥结碎石道路、素混凝土道路（一层灰土，18公分厚的混凝土）、煤矸石道路（100毫米）、沥青道路（1层15公分厚的灰土，15公分厚的碎石，40－60毫米沥青灌入式砼，10－20毫米沥青面层）。</w:t>
      </w:r>
    </w:p>
    <w:p>
      <w:pPr>
        <w:overflowPunct w:val="0"/>
        <w:topLinePunct/>
        <w:adjustRightInd w:val="0"/>
        <w:spacing w:line="600" w:lineRule="exact"/>
        <w:jc w:val="center"/>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非居住房屋及附属物补偿标准</w:t>
      </w:r>
    </w:p>
    <w:tbl>
      <w:tblPr>
        <w:tblStyle w:val="18"/>
        <w:tblW w:w="4988" w:type="pct"/>
        <w:jc w:val="center"/>
        <w:tblLayout w:type="autofit"/>
        <w:tblCellMar>
          <w:top w:w="0" w:type="dxa"/>
          <w:left w:w="0" w:type="dxa"/>
          <w:bottom w:w="0" w:type="dxa"/>
          <w:right w:w="0" w:type="dxa"/>
        </w:tblCellMar>
      </w:tblPr>
      <w:tblGrid>
        <w:gridCol w:w="712"/>
        <w:gridCol w:w="1051"/>
        <w:gridCol w:w="993"/>
        <w:gridCol w:w="2690"/>
        <w:gridCol w:w="741"/>
        <w:gridCol w:w="1578"/>
        <w:gridCol w:w="1201"/>
      </w:tblGrid>
      <w:tr>
        <w:tblPrEx>
          <w:tblCellMar>
            <w:top w:w="0" w:type="dxa"/>
            <w:left w:w="0" w:type="dxa"/>
            <w:bottom w:w="0" w:type="dxa"/>
            <w:right w:w="0" w:type="dxa"/>
          </w:tblCellMar>
        </w:tblPrEx>
        <w:trPr>
          <w:wBefore w:w="0" w:type="dxa"/>
          <w:wAfter w:w="0" w:type="dxa"/>
          <w:trHeight w:val="567" w:hRule="atLeast"/>
          <w:tblHeader/>
          <w:jc w:val="center"/>
        </w:trPr>
        <w:tc>
          <w:tcPr>
            <w:tcW w:w="3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color w:val="000000"/>
                <w:kern w:val="0"/>
                <w:sz w:val="28"/>
                <w:szCs w:val="28"/>
              </w:rPr>
              <w:t>序号</w:t>
            </w:r>
          </w:p>
        </w:tc>
        <w:tc>
          <w:tcPr>
            <w:tcW w:w="5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分类</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sz w:val="28"/>
                <w:szCs w:val="28"/>
              </w:rPr>
              <w:t>单位</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w:t>
            </w:r>
          </w:p>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color w:val="000000"/>
                <w:kern w:val="0"/>
                <w:sz w:val="28"/>
                <w:szCs w:val="28"/>
              </w:rPr>
              <w:t>（元）</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备注</w:t>
            </w: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房屋</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330-400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简易钢结构、彩钢瓦</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120-150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200-320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130-200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温室、</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大棚</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连栋温室</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330-550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钢骨架（复合材料骨架）</w:t>
            </w:r>
          </w:p>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塑料大棚</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25-30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普通塑料大棚</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55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55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55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55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　墙</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67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抹面增加10元/</w:t>
            </w:r>
            <w:r>
              <w:rPr>
                <w:rFonts w:ascii="Times New Roman" w:hAnsi="Times New Roman" w:eastAsia="方正仿宋_GBK"/>
                <w:kern w:val="0"/>
                <w:sz w:val="28"/>
                <w:szCs w:val="28"/>
              </w:rPr>
              <w:t>㎡</w:t>
            </w: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　地</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　路</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20-25</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地下窖、</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果　窖</w:t>
            </w: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空间≤2m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2m</w:t>
            </w:r>
            <w:r>
              <w:rPr>
                <w:rFonts w:ascii="Times New Roman" w:hAnsi="Times New Roman" w:eastAsia="方正仿宋_GBK"/>
                <w:color w:val="000000"/>
                <w:kern w:val="0"/>
                <w:sz w:val="28"/>
                <w:szCs w:val="28"/>
                <w:vertAlign w:val="superscript"/>
              </w:rPr>
              <w:t>3</w:t>
            </w:r>
            <w:r>
              <w:rPr>
                <w:rFonts w:ascii="Times New Roman" w:hAnsi="Times New Roman" w:eastAsia="方正仿宋_GBK"/>
                <w:color w:val="000000"/>
                <w:kern w:val="0"/>
                <w:sz w:val="28"/>
                <w:szCs w:val="28"/>
              </w:rPr>
              <w:t>＜空间＜4m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空间≥4m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w:t>
            </w:r>
          </w:p>
        </w:tc>
        <w:tc>
          <w:tcPr>
            <w:tcW w:w="5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水果</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保鲜库</w:t>
            </w: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1000-1500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　墓</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少数民族坟墓</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4000</w:t>
            </w:r>
          </w:p>
        </w:tc>
        <w:tc>
          <w:tcPr>
            <w:tcW w:w="6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三、农田水利、电力设施补偿标准</w:t>
      </w:r>
    </w:p>
    <w:tbl>
      <w:tblPr>
        <w:tblStyle w:val="18"/>
        <w:tblW w:w="8882" w:type="dxa"/>
        <w:jc w:val="center"/>
        <w:tblLayout w:type="fixed"/>
        <w:tblCellMar>
          <w:top w:w="0" w:type="dxa"/>
          <w:left w:w="28" w:type="dxa"/>
          <w:bottom w:w="0" w:type="dxa"/>
          <w:right w:w="28" w:type="dxa"/>
        </w:tblCellMar>
      </w:tblPr>
      <w:tblGrid>
        <w:gridCol w:w="679"/>
        <w:gridCol w:w="679"/>
        <w:gridCol w:w="1723"/>
        <w:gridCol w:w="2975"/>
        <w:gridCol w:w="681"/>
        <w:gridCol w:w="1295"/>
        <w:gridCol w:w="850"/>
      </w:tblGrid>
      <w:tr>
        <w:tblPrEx>
          <w:tblCellMar>
            <w:top w:w="0" w:type="dxa"/>
            <w:left w:w="28" w:type="dxa"/>
            <w:bottom w:w="0" w:type="dxa"/>
            <w:right w:w="28" w:type="dxa"/>
          </w:tblCellMar>
        </w:tblPrEx>
        <w:trPr>
          <w:wBefore w:w="0" w:type="dxa"/>
          <w:wAfter w:w="0" w:type="dxa"/>
          <w:trHeight w:val="567" w:hRule="atLeast"/>
          <w:jc w:val="center"/>
        </w:trPr>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名称</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规　　格</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黑体_GBK"/>
                <w:sz w:val="28"/>
                <w:szCs w:val="28"/>
              </w:rPr>
            </w:pPr>
            <w:r>
              <w:rPr>
                <w:rFonts w:ascii="Times New Roman" w:hAnsi="Times New Roman" w:eastAsia="方正黑体_GBK"/>
                <w:color w:val="000000"/>
                <w:kern w:val="0"/>
                <w:sz w:val="28"/>
                <w:szCs w:val="28"/>
              </w:rPr>
              <w:t>补偿标准（元）</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明沟</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浆砌石块</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130-190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砖砌明沟</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机井（口径＜30厘米）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机井（30厘米≤口径＜60厘米）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盖板涵跨径（1.2米以下）</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200-260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拱涵跨径（1.2米以下）</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240-280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木杆、水泥杆</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水泥行条</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毛竹</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元/根</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注：1．对在特殊地质构造（如岩石）地区打凿的机井,按照水利部门相关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四、树木移栽补偿标准</w:t>
      </w:r>
    </w:p>
    <w:tbl>
      <w:tblPr>
        <w:tblStyle w:val="18"/>
        <w:tblW w:w="8694" w:type="dxa"/>
        <w:jc w:val="center"/>
        <w:tblLayout w:type="autofit"/>
        <w:tblCellMar>
          <w:top w:w="0" w:type="dxa"/>
          <w:left w:w="0" w:type="dxa"/>
          <w:bottom w:w="0" w:type="dxa"/>
          <w:right w:w="0" w:type="dxa"/>
        </w:tblCellMar>
      </w:tblPr>
      <w:tblGrid>
        <w:gridCol w:w="2877"/>
        <w:gridCol w:w="3411"/>
        <w:gridCol w:w="2406"/>
      </w:tblGrid>
      <w:tr>
        <w:tblPrEx>
          <w:tblCellMar>
            <w:top w:w="0" w:type="dxa"/>
            <w:left w:w="0" w:type="dxa"/>
            <w:bottom w:w="0" w:type="dxa"/>
            <w:right w:w="0" w:type="dxa"/>
          </w:tblCellMar>
        </w:tblPrEx>
        <w:trPr>
          <w:wBefore w:w="0" w:type="dxa"/>
          <w:wAfter w:w="0" w:type="dxa"/>
          <w:trHeight w:val="632" w:hRule="atLeast"/>
          <w:jc w:val="center"/>
        </w:trPr>
        <w:tc>
          <w:tcPr>
            <w:tcW w:w="28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胸径（cm）</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"http://www.dangshangov.com/" \o "http://www.dangshangov.com/" </w:instrText>
            </w:r>
            <w:r>
              <w:rPr>
                <w:rFonts w:ascii="Times New Roman" w:hAnsi="Times New Roman" w:eastAsia="方正黑体_GBK"/>
                <w:sz w:val="28"/>
                <w:szCs w:val="28"/>
              </w:rPr>
              <w:fldChar w:fldCharType="separate"/>
            </w:r>
            <w:r>
              <w:rPr>
                <w:rFonts w:ascii="Times New Roman" w:hAnsi="Times New Roman" w:eastAsia="方正黑体_GBK"/>
                <w:color w:val="000000"/>
                <w:kern w:val="0"/>
                <w:sz w:val="28"/>
                <w:szCs w:val="28"/>
              </w:rPr>
              <w:t>补偿标准</w:t>
            </w:r>
            <w:r>
              <w:rPr>
                <w:rFonts w:ascii="Times New Roman" w:hAnsi="Times New Roman" w:eastAsia="方正黑体_GBK"/>
                <w:color w:val="000000"/>
                <w:kern w:val="0"/>
                <w:sz w:val="28"/>
                <w:szCs w:val="28"/>
              </w:rPr>
              <w:fldChar w:fldCharType="end"/>
            </w:r>
          </w:p>
        </w:tc>
        <w:tc>
          <w:tcPr>
            <w:tcW w:w="2406" w:type="dxa"/>
            <w:tcBorders>
              <w:top w:val="single" w:color="000000" w:sz="4" w:space="0"/>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w:t>
            </w:r>
          </w:p>
        </w:tc>
      </w:tr>
      <w:tr>
        <w:tblPrEx>
          <w:tblCellMar>
            <w:top w:w="0" w:type="dxa"/>
            <w:left w:w="0" w:type="dxa"/>
            <w:bottom w:w="0" w:type="dxa"/>
            <w:right w:w="0" w:type="dxa"/>
          </w:tblCellMar>
        </w:tblPrEx>
        <w:trPr>
          <w:wBefore w:w="0" w:type="dxa"/>
          <w:wAfter w:w="0" w:type="dxa"/>
          <w:trHeight w:val="632" w:hRule="atLeast"/>
          <w:jc w:val="center"/>
        </w:trPr>
        <w:tc>
          <w:tcPr>
            <w:tcW w:w="28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普通树木（元/棵）</w:t>
            </w:r>
          </w:p>
        </w:tc>
        <w:tc>
          <w:tcPr>
            <w:tcW w:w="2406" w:type="dxa"/>
            <w:tcBorders>
              <w:top w:val="single" w:color="000000" w:sz="4" w:space="0"/>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果树</w:t>
            </w: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Φ＜2.0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2406" w:type="dxa"/>
            <w:vMerge w:val="restart"/>
            <w:tcBorders>
              <w:top w:val="single" w:color="000000" w:sz="4" w:space="0"/>
              <w:left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果园、桑园</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4500元/亩</w:t>
            </w: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c>
          <w:tcPr>
            <w:tcW w:w="2406" w:type="dxa"/>
            <w:vMerge w:val="continue"/>
            <w:tcBorders>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400" w:lineRule="exact"/>
        <w:rPr>
          <w:rFonts w:ascii="Times New Roman" w:hAnsi="Times New Roman" w:eastAsia="方正仿宋_GBK"/>
          <w:sz w:val="28"/>
          <w:szCs w:val="28"/>
        </w:rPr>
      </w:pPr>
    </w:p>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2．树木密度超过每平方米7棵，按面积补偿：一般树木5元/平方米，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果树8元/平方米；</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3．风景树、花木、桑园、竹园等比照果树标准赔偿；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4．移植、砍伐树木归原主；</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6．葡萄树幼苗10元/棵，成果40元/棵。</w:t>
      </w: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水产养殖池塘，补偿标准为2785元／亩；苇塘、藕塘补偿标准为2785元／亩。</w:t>
      </w:r>
    </w:p>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六、青苗补偿标准</w:t>
      </w:r>
    </w:p>
    <w:tbl>
      <w:tblPr>
        <w:tblStyle w:val="18"/>
        <w:tblW w:w="4830" w:type="pct"/>
        <w:jc w:val="center"/>
        <w:tblLayout w:type="autofit"/>
        <w:tblCellMar>
          <w:top w:w="0" w:type="dxa"/>
          <w:left w:w="0" w:type="dxa"/>
          <w:bottom w:w="0" w:type="dxa"/>
          <w:right w:w="0" w:type="dxa"/>
        </w:tblCellMar>
      </w:tblPr>
      <w:tblGrid>
        <w:gridCol w:w="1204"/>
        <w:gridCol w:w="1594"/>
        <w:gridCol w:w="1419"/>
        <w:gridCol w:w="1895"/>
        <w:gridCol w:w="2570"/>
      </w:tblGrid>
      <w:tr>
        <w:tblPrEx>
          <w:tblCellMar>
            <w:top w:w="0" w:type="dxa"/>
            <w:left w:w="0" w:type="dxa"/>
            <w:bottom w:w="0" w:type="dxa"/>
            <w:right w:w="0" w:type="dxa"/>
          </w:tblCellMar>
        </w:tblPrEx>
        <w:trPr>
          <w:wBefore w:w="0" w:type="dxa"/>
          <w:wAfter w:w="0" w:type="dxa"/>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　　注</w:t>
            </w:r>
          </w:p>
        </w:tc>
      </w:tr>
      <w:tr>
        <w:tblPrEx>
          <w:tblCellMar>
            <w:top w:w="0" w:type="dxa"/>
            <w:left w:w="0" w:type="dxa"/>
            <w:bottom w:w="0" w:type="dxa"/>
            <w:right w:w="0" w:type="dxa"/>
          </w:tblCellMar>
        </w:tblPrEx>
        <w:trPr>
          <w:wBefore w:w="0" w:type="dxa"/>
          <w:wAfter w:w="0" w:type="dxa"/>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青　苗</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6000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株树密度≥400株/亩</w:t>
            </w:r>
          </w:p>
        </w:tc>
      </w:tr>
      <w:tr>
        <w:tblPrEx>
          <w:tblCellMar>
            <w:top w:w="0" w:type="dxa"/>
            <w:left w:w="0" w:type="dxa"/>
            <w:bottom w:w="0" w:type="dxa"/>
            <w:right w:w="0" w:type="dxa"/>
          </w:tblCellMar>
        </w:tblPrEx>
        <w:trPr>
          <w:wBefore w:w="0" w:type="dxa"/>
          <w:wAfter w:w="0" w:type="dxa"/>
          <w:trHeight w:val="663" w:hRule="atLeast"/>
          <w:jc w:val="center"/>
        </w:trPr>
        <w:tc>
          <w:tcPr>
            <w:tcW w:w="69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6600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63" w:hRule="atLeast"/>
          <w:jc w:val="center"/>
        </w:trPr>
        <w:tc>
          <w:tcPr>
            <w:tcW w:w="6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楷体_GBK"/>
                <w:color w:val="000000"/>
                <w:sz w:val="28"/>
                <w:szCs w:val="28"/>
              </w:rPr>
            </w:pP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3800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63" w:hRule="atLeast"/>
          <w:jc w:val="center"/>
        </w:trPr>
        <w:tc>
          <w:tcPr>
            <w:tcW w:w="6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楷体_GBK"/>
                <w:color w:val="000000"/>
                <w:sz w:val="28"/>
                <w:szCs w:val="28"/>
              </w:rPr>
            </w:pP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大棚种植</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6000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731"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菜　地</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注：青苗补偿按农作物产值标准确定。</w:t>
      </w: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bookmarkStart w:id="0" w:name="_Toc5190"/>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outlineLvl w:val="0"/>
        <w:rPr>
          <w:rFonts w:ascii="Times New Roman" w:hAnsi="Times New Roman" w:eastAsia="方正黑体_GBK"/>
          <w:bCs/>
          <w:sz w:val="32"/>
          <w:szCs w:val="32"/>
        </w:rPr>
      </w:pPr>
      <w:r>
        <w:rPr>
          <w:rFonts w:ascii="Times New Roman" w:hAnsi="Times New Roman" w:eastAsia="方正黑体_GBK"/>
          <w:bCs/>
          <w:sz w:val="32"/>
          <w:szCs w:val="32"/>
        </w:rPr>
        <w:t>附件3</w:t>
      </w: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jc w:val="center"/>
        <w:outlineLvl w:val="0"/>
        <w:rPr>
          <w:rFonts w:ascii="Times New Roman" w:hAnsi="Times New Roman" w:eastAsia="方正小标宋_GBK"/>
          <w:b/>
          <w:bCs/>
          <w:sz w:val="44"/>
          <w:szCs w:val="44"/>
        </w:rPr>
      </w:pPr>
      <w:r>
        <w:rPr>
          <w:rFonts w:ascii="Times New Roman" w:hAnsi="Times New Roman" w:eastAsia="方正小标宋_GBK"/>
          <w:kern w:val="0"/>
          <w:sz w:val="44"/>
          <w:szCs w:val="44"/>
        </w:rPr>
        <w:t>萧县被征土地青苗及地上附着物补偿标准</w:t>
      </w:r>
    </w:p>
    <w:p>
      <w:pPr>
        <w:overflowPunct w:val="0"/>
        <w:topLinePunct/>
        <w:adjustRightInd w:val="0"/>
        <w:spacing w:line="600" w:lineRule="exact"/>
        <w:ind w:firstLine="640" w:firstLineChars="200"/>
        <w:outlineLvl w:val="2"/>
        <w:rPr>
          <w:rFonts w:ascii="Times New Roman" w:hAnsi="Times New Roman" w:eastAsia="方正仿宋_GBK"/>
          <w:bCs/>
          <w:sz w:val="32"/>
          <w:szCs w:val="32"/>
        </w:rPr>
      </w:pP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一、居住房屋及附着物的补偿标准</w:t>
      </w:r>
    </w:p>
    <w:p>
      <w:pPr>
        <w:overflowPunct w:val="0"/>
        <w:topLinePunct/>
        <w:adjustRightInd w:val="0"/>
        <w:spacing w:before="120" w:beforeLines="50" w:after="120" w:afterLines="50"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（一）拆迁房屋重置价格参照表。</w:t>
      </w:r>
    </w:p>
    <w:tbl>
      <w:tblPr>
        <w:tblStyle w:val="18"/>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2"/>
        <w:gridCol w:w="736"/>
        <w:gridCol w:w="634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类别</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等级</w:t>
            </w:r>
          </w:p>
        </w:tc>
        <w:tc>
          <w:tcPr>
            <w:tcW w:w="3564"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结　构　设　备</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96" w:type="pct"/>
            <w:gridSpan w:val="2"/>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框架</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梁柱承重，现浇屋面，铝塑门窗，高级粉刷，水电卫齐全。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砖混</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一</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240砖墙，钢筋混凝土梁承重，层层设置圈梁和构造柱，现浇屋面，铝塑门窗，高级粉刷，水电卫齐全。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二</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240砖墙承重，设置圈梁或构造柱，多孔板屋面，标准木门窗一玻一纱，中级粉刷，水电卫齐全。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240或180砖墙或土墙，无圈梁或构造柱，预制水泥桁条，简易屋面，非标准门窗，普通粉刷，水电齐全。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砖木</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一</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240砖墙，瓦屋面，木桁条，标准门窗，水泥地坪，水电卫齐全，外墙粉刷。</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二</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240或180砖墙，瓦屋面，木桁条或预制桁条，标准门窗，水泥地坪，水电齐全，清水墙。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240或180砖墙或土墙，简易屋面，非标准门窗，水电齐全。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96" w:type="pct"/>
            <w:gridSpan w:val="2"/>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其他结构房屋</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低于砖木三等以下的标准房屋。</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w w:val="88"/>
                <w:kern w:val="0"/>
                <w:sz w:val="28"/>
                <w:szCs w:val="28"/>
              </w:rPr>
              <w:t>厂房、</w:t>
            </w:r>
            <w:r>
              <w:rPr>
                <w:rFonts w:ascii="Times New Roman" w:hAnsi="Times New Roman" w:eastAsia="方正楷体_GBK"/>
                <w:color w:val="000000"/>
                <w:kern w:val="0"/>
                <w:sz w:val="28"/>
                <w:szCs w:val="28"/>
              </w:rPr>
              <w:t>仓库</w:t>
            </w:r>
          </w:p>
        </w:tc>
        <w:tc>
          <w:tcPr>
            <w:tcW w:w="41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砖混结构，净高4m、空心板顶、砖墙。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砖混结构，净高4m、石棉瓦顶、砖墙。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96" w:type="pct"/>
            <w:gridSpan w:val="2"/>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房基</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有砖石基础，有钢筋砼圈梁。</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96" w:type="pct"/>
            <w:gridSpan w:val="2"/>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有砖石基础，无圈梁。</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sectPr>
          <w:headerReference r:id="rId5" w:type="default"/>
          <w:pgSz w:w="11906" w:h="16838"/>
          <w:pgMar w:top="1985" w:right="1474" w:bottom="1134" w:left="1474" w:header="851" w:footer="1021" w:gutter="0"/>
          <w:cols w:space="720" w:num="1"/>
          <w:docGrid w:linePitch="312" w:charSpace="0"/>
        </w:sectPr>
      </w:pP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（二）搬迁补助费、临时安置费和停产停业损失费。</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1．搬迁补助费：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w:t>
      </w:r>
      <w:r>
        <w:rPr>
          <w:rFonts w:hint="eastAsia" w:ascii="宋体" w:hAnsi="宋体" w:cs="宋体"/>
          <w:bCs/>
          <w:sz w:val="32"/>
          <w:szCs w:val="32"/>
        </w:rPr>
        <w:t>①</w:t>
      </w:r>
      <w:r>
        <w:rPr>
          <w:rFonts w:ascii="Times New Roman" w:hAnsi="Times New Roman" w:eastAsia="方正仿宋_GBK"/>
          <w:bCs/>
          <w:sz w:val="32"/>
          <w:szCs w:val="32"/>
        </w:rPr>
        <w:t>住宅房：</w:t>
      </w:r>
      <w:r>
        <w:rPr>
          <w:rFonts w:ascii="Times New Roman" w:hAnsi="Times New Roman" w:eastAsia="方正仿宋_GBK"/>
          <w:sz w:val="32"/>
          <w:szCs w:val="32"/>
        </w:rPr>
        <w:t>按被拆迁房屋建筑面积</w:t>
      </w:r>
      <w:r>
        <w:rPr>
          <w:rFonts w:ascii="Times New Roman" w:hAnsi="Times New Roman" w:eastAsia="方正仿宋_GBK"/>
          <w:bCs/>
          <w:sz w:val="32"/>
          <w:szCs w:val="32"/>
        </w:rPr>
        <w:t>6元/平方米计算，最低不低于300元/户，一次性发给搬迁费。</w:t>
      </w:r>
      <w:r>
        <w:rPr>
          <w:rFonts w:hint="eastAsia" w:ascii="宋体" w:hAnsi="宋体" w:cs="宋体"/>
          <w:bCs/>
          <w:sz w:val="32"/>
          <w:szCs w:val="32"/>
        </w:rPr>
        <w:t>②</w:t>
      </w:r>
      <w:r>
        <w:rPr>
          <w:rFonts w:ascii="Times New Roman" w:hAnsi="Times New Roman" w:eastAsia="方正仿宋_GBK"/>
          <w:bCs/>
          <w:sz w:val="32"/>
          <w:szCs w:val="32"/>
        </w:rPr>
        <w:t>非住宅房：据实协商搬迁费用，协商不成由专业评估机构评估确定。</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（2）实行产权调换以现房安置的，按上述规定发给。</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（3）实行产权调换以期房安置的，按上述规定支付两次搬迁费。</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2．临时安置补助费：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w:t>
      </w:r>
      <w:r>
        <w:rPr>
          <w:rFonts w:ascii="Times New Roman" w:hAnsi="Times New Roman" w:eastAsia="方正仿宋_GBK"/>
          <w:sz w:val="32"/>
          <w:szCs w:val="32"/>
        </w:rPr>
        <w:t>按被拆迁房屋建筑面积</w:t>
      </w:r>
      <w:r>
        <w:rPr>
          <w:rFonts w:ascii="Times New Roman" w:hAnsi="Times New Roman" w:eastAsia="方正仿宋_GBK"/>
          <w:bCs/>
          <w:sz w:val="32"/>
          <w:szCs w:val="32"/>
        </w:rPr>
        <w:t>6元/平方米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（2）实行产权调换的：</w:t>
      </w:r>
      <w:r>
        <w:rPr>
          <w:rFonts w:hint="eastAsia" w:ascii="宋体" w:hAnsi="宋体" w:cs="宋体"/>
          <w:bCs/>
          <w:sz w:val="32"/>
          <w:szCs w:val="32"/>
        </w:rPr>
        <w:t>①</w:t>
      </w:r>
      <w:r>
        <w:rPr>
          <w:rFonts w:ascii="Times New Roman" w:hAnsi="Times New Roman" w:eastAsia="方正仿宋_GBK"/>
          <w:bCs/>
          <w:sz w:val="32"/>
          <w:szCs w:val="32"/>
        </w:rPr>
        <w:t>以现房安置的，按上述规定计发3个月；</w:t>
      </w:r>
      <w:r>
        <w:rPr>
          <w:rFonts w:hint="eastAsia" w:ascii="宋体" w:hAnsi="宋体" w:cs="宋体"/>
          <w:bCs/>
          <w:sz w:val="32"/>
          <w:szCs w:val="32"/>
        </w:rPr>
        <w:t>②</w:t>
      </w:r>
      <w:r>
        <w:rPr>
          <w:rFonts w:ascii="Times New Roman" w:hAnsi="Times New Roman" w:eastAsia="方正仿宋_GBK"/>
          <w:bCs/>
          <w:sz w:val="32"/>
          <w:szCs w:val="32"/>
        </w:rPr>
        <w:t>以期房安置被征收人自行过渡的，24个月内安置的，从其搬出之月起至被安置后的3个月按上述规定计发;超过24个月未安置的，房屋征收部门应当从逾期之日起按上述规定再增加一倍的临时安置补助费，直至安置兑现为止。</w:t>
      </w:r>
      <w:r>
        <w:rPr>
          <w:rFonts w:hint="eastAsia" w:ascii="宋体" w:hAnsi="宋体" w:cs="宋体"/>
          <w:bCs/>
          <w:sz w:val="32"/>
          <w:szCs w:val="32"/>
        </w:rPr>
        <w:t>③</w:t>
      </w:r>
      <w:r>
        <w:rPr>
          <w:rFonts w:ascii="Times New Roman" w:hAnsi="Times New Roman" w:eastAsia="方正仿宋_GBK"/>
          <w:bCs/>
          <w:sz w:val="32"/>
          <w:szCs w:val="32"/>
        </w:rPr>
        <w:t>房屋征收部门提供周转用房的，不再支付临时安置补助费;超过24个月未安置的，自逾期之日起按上述规定发给临时安置补助费，直至兑现为止。</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3．非住宅房屋停产、停业补偿费：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（1）实行货币补偿的，商业用房：按10-30元/平方米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计发1个月。工业、仓储用房：按12元/平方米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（2）实行产权调换的：</w:t>
      </w:r>
      <w:r>
        <w:rPr>
          <w:rFonts w:hint="eastAsia" w:ascii="宋体" w:hAnsi="宋体" w:cs="宋体"/>
          <w:bCs/>
          <w:sz w:val="32"/>
          <w:szCs w:val="32"/>
        </w:rPr>
        <w:t>①</w:t>
      </w:r>
      <w:r>
        <w:rPr>
          <w:rFonts w:ascii="Times New Roman" w:hAnsi="Times New Roman" w:eastAsia="方正仿宋_GBK"/>
          <w:bCs/>
          <w:sz w:val="32"/>
          <w:szCs w:val="32"/>
        </w:rPr>
        <w:t>以现房安置或房屋征收部门提供周转用房的，不再支付停产停业损失费；</w:t>
      </w:r>
      <w:r>
        <w:rPr>
          <w:rFonts w:hint="eastAsia" w:ascii="宋体" w:hAnsi="宋体" w:cs="宋体"/>
          <w:bCs/>
          <w:sz w:val="32"/>
          <w:szCs w:val="32"/>
        </w:rPr>
        <w:t>②</w:t>
      </w:r>
      <w:r>
        <w:rPr>
          <w:rFonts w:ascii="Times New Roman" w:hAnsi="Times New Roman" w:eastAsia="方正仿宋_GBK"/>
          <w:bCs/>
          <w:sz w:val="32"/>
          <w:szCs w:val="32"/>
        </w:rPr>
        <w:t>以期房安置被征收入自行过渡的，从搬迁之日起至被安置之日止，按上述规定发给停产停业损失费。</w:t>
      </w:r>
    </w:p>
    <w:p>
      <w:pPr>
        <w:overflowPunct w:val="0"/>
        <w:topLinePunct/>
        <w:adjustRightInd w:val="0"/>
        <w:spacing w:after="120" w:afterLines="50"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（三）各类附属物补偿价格参照表。</w:t>
      </w:r>
    </w:p>
    <w:tbl>
      <w:tblPr>
        <w:tblStyle w:val="18"/>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3"/>
        <w:gridCol w:w="2887"/>
        <w:gridCol w:w="758"/>
        <w:gridCol w:w="758"/>
        <w:gridCol w:w="1419"/>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tblHeader/>
          <w:jc w:val="center"/>
        </w:trPr>
        <w:tc>
          <w:tcPr>
            <w:tcW w:w="237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冷暖设施</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柜　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壁挂式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中央空调</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KW</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按额定制冷输入功率计算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暖气片</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片</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　暖</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太阳能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燃　气</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空气能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水电气</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按相关部门资费标准执行</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管道燃气</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三相电户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通　讯</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有线电视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电话、宽带</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厨　房</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灶　台</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厨　房</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抽油烟机</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净水设备</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套</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卫生设施</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浴　霸</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化粪池</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r>
              <w:rPr>
                <w:rFonts w:ascii="Times New Roman" w:hAnsi="Times New Roman" w:eastAsia="方正仿宋_GBK"/>
                <w:color w:val="000000"/>
                <w:kern w:val="0"/>
                <w:sz w:val="28"/>
                <w:szCs w:val="28"/>
                <w:vertAlign w:val="superscript"/>
              </w:rPr>
              <w:t>3</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室外地坪</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泥</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　墙</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（水泥抹面增加10元/</w:t>
            </w:r>
            <w:r>
              <w:rPr>
                <w:rFonts w:ascii="Times New Roman" w:hAnsi="Times New Roman" w:eastAsia="方正仿宋_GBK"/>
                <w:kern w:val="0"/>
                <w:sz w:val="28"/>
                <w:szCs w:val="28"/>
              </w:rPr>
              <w:t>㎡</w:t>
            </w:r>
            <w:r>
              <w:rPr>
                <w:rFonts w:ascii="Times New Roman" w:hAnsi="Times New Roman" w:eastAsia="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restar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院墙大门</w:t>
            </w:r>
          </w:p>
        </w:tc>
        <w:tc>
          <w:tcPr>
            <w:tcW w:w="427"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木制</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樘单</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樘双</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铁制</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樘单</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樘双</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　他</w:t>
            </w:r>
          </w:p>
        </w:tc>
        <w:tc>
          <w:tcPr>
            <w:tcW w:w="1627" w:type="pct"/>
            <w:vMerge w:val="restar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　楼</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150-300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浇筑</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1500-2500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　锅</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池</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沼气池（水泥）</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手压水井</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遮阳棚</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简易棚（无围护栏）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楷体_GBK"/>
                <w:color w:val="000000"/>
                <w:kern w:val="0"/>
                <w:sz w:val="28"/>
                <w:szCs w:val="28"/>
              </w:rPr>
              <w:t>其　他</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不锈钢栏杆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木质栏杆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下水道</w:t>
            </w:r>
          </w:p>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（砖砌深0.6米以上）</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广告牌（普通）、灯箱</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主机式监控摄像头</w:t>
            </w:r>
          </w:p>
        </w:tc>
        <w:tc>
          <w:tcPr>
            <w:tcW w:w="853" w:type="pct"/>
            <w:gridSpan w:val="2"/>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974" w:type="pct"/>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分布式太阳能光伏电站</w:t>
            </w:r>
          </w:p>
        </w:tc>
        <w:tc>
          <w:tcPr>
            <w:tcW w:w="853" w:type="pct"/>
            <w:gridSpan w:val="2"/>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初装费的80%</w:t>
            </w:r>
          </w:p>
        </w:tc>
        <w:tc>
          <w:tcPr>
            <w:tcW w:w="974" w:type="pct"/>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w:t>
            </w: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（四）各类装潢补偿价格参照表。</w:t>
      </w:r>
    </w:p>
    <w:tbl>
      <w:tblPr>
        <w:tblStyle w:val="18"/>
        <w:tblW w:w="50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21"/>
        <w:gridCol w:w="691"/>
        <w:gridCol w:w="1880"/>
        <w:gridCol w:w="992"/>
        <w:gridCol w:w="1701"/>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tblHeader/>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945"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简易防盗门</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（自焊）：200-300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墙布、喷塑</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10-15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无法移动固定墙柜</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夹心板房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钢瓦顶房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乳胶漆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壁　纸</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墙面软包</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整体橱柜</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蹲　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座　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浴　缸</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脸　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菜　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173" w:type="pct"/>
            <w:gridSpan w:val="2"/>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　段</w:t>
            </w: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铝合金隔段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173" w:type="pct"/>
            <w:gridSpan w:val="2"/>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7" w:hRule="atLeast"/>
          <w:jc w:val="center"/>
        </w:trPr>
        <w:tc>
          <w:tcPr>
            <w:tcW w:w="1173" w:type="pct"/>
            <w:gridSpan w:val="2"/>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玻璃隔段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line="60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1．商业用房、其他非住宅</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2．住宅</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二、非居住房屋及附属物</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（一）标准猪、鸡、鸭舍。</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（二）简易猪舍。</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简易结构棚房，檐高1.8米左右（檐高浮动范围为±20厘米），墙体为二四墙，清水内外墙，室内水泥地面，石棉瓦坡屋顶，木门窗，简易供电、供水。</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（三）简易鸡房、鸭房</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简易结构，檐高1.2米左右（檐高浮动范围为±20厘米），墙体为二四墙，清水内外墙，砖地面，石棉瓦或木板屋顶，木门窗。</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（四）羊舍</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檐高1.8米左右（檐高浮动范围为±20厘米），三面清水砖墙，石棉瓦顶棚，内部水泥地面。</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（五）简易牛棚</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钢管支架，无维护结构，石棉瓦顶，高3米，水泥地面。</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（六）简屋</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简易结构，檐高2.0米左右（檐高浮动范围为±20厘米），墙体为二四墙，清水内外墙，平砖或土地面，石棉瓦顶，无供电、供水。</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（七）厕所</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（八）简易厕所</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砖木结构，檐高2.0米左右（檐高浮动范围为±20厘米），墙体为二四墙，外墙清水，内墙水泥抹灰，水泥地面，石棉瓦顶。</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（九）温室、大棚</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普通塑料大棚：拱形，高约2米，内部竹竿骨架，覆盖材料为单层无滴塑料薄膜。</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（十）围墙</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包括：水泥抹灰砖墙、清水砖墙、土坯墙。</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（十一）场地</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包括：泥结碎石、素混凝土（200毫米）、砖地面（立砖）、砖地面（平砖）。</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（十二）道路</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包括：泥结泥结碎石道路、素混凝土道路（一层灰土，18公分厚的混凝土）、煤矸石道路（100毫米）、沥青道路（1层15公分厚的灰土，15公分厚的碎石，40-60毫米沥青灌入式砼，10-20毫米沥青面层）。</w:t>
      </w:r>
    </w:p>
    <w:p>
      <w:pPr>
        <w:overflowPunct w:val="0"/>
        <w:topLinePunct/>
        <w:adjustRightInd w:val="0"/>
        <w:spacing w:line="600" w:lineRule="exact"/>
        <w:jc w:val="center"/>
        <w:outlineLvl w:val="2"/>
        <w:rPr>
          <w:rFonts w:ascii="Times New Roman" w:hAnsi="Times New Roman" w:eastAsia="方正黑体_GBK"/>
          <w:bCs/>
          <w:sz w:val="32"/>
          <w:szCs w:val="32"/>
        </w:rPr>
      </w:pPr>
      <w:r>
        <w:rPr>
          <w:rFonts w:ascii="Times New Roman" w:hAnsi="Times New Roman" w:eastAsia="方正黑体_GBK"/>
          <w:bCs/>
          <w:sz w:val="32"/>
          <w:szCs w:val="32"/>
        </w:rPr>
        <w:t>非居住房屋及附属物补偿标准表</w:t>
      </w:r>
    </w:p>
    <w:tbl>
      <w:tblPr>
        <w:tblStyle w:val="18"/>
        <w:tblW w:w="4986" w:type="pct"/>
        <w:tblInd w:w="0" w:type="dxa"/>
        <w:tblLayout w:type="autofit"/>
        <w:tblCellMar>
          <w:top w:w="0" w:type="dxa"/>
          <w:left w:w="28" w:type="dxa"/>
          <w:bottom w:w="0" w:type="dxa"/>
          <w:right w:w="28" w:type="dxa"/>
        </w:tblCellMar>
      </w:tblPr>
      <w:tblGrid>
        <w:gridCol w:w="718"/>
        <w:gridCol w:w="998"/>
        <w:gridCol w:w="1421"/>
        <w:gridCol w:w="2273"/>
        <w:gridCol w:w="709"/>
        <w:gridCol w:w="1275"/>
        <w:gridCol w:w="1563"/>
      </w:tblGrid>
      <w:tr>
        <w:tblPrEx>
          <w:tblCellMar>
            <w:top w:w="0" w:type="dxa"/>
            <w:left w:w="28" w:type="dxa"/>
            <w:bottom w:w="0" w:type="dxa"/>
            <w:right w:w="28" w:type="dxa"/>
          </w:tblCellMar>
        </w:tblPrEx>
        <w:trPr>
          <w:wBefore w:w="0" w:type="dxa"/>
          <w:wAfter w:w="0" w:type="dxa"/>
          <w:trHeight w:val="520" w:hRule="atLeast"/>
          <w:tblHeader/>
        </w:trPr>
        <w:tc>
          <w:tcPr>
            <w:tcW w:w="401" w:type="pc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序号</w:t>
            </w:r>
          </w:p>
        </w:tc>
        <w:tc>
          <w:tcPr>
            <w:tcW w:w="557"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分类</w:t>
            </w:r>
          </w:p>
        </w:tc>
        <w:tc>
          <w:tcPr>
            <w:tcW w:w="2062" w:type="pct"/>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396"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712"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备注</w:t>
            </w: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非居住房屋</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220-320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396"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712"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873"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single" w:color="auto" w:sz="4" w:space="0"/>
              <w:left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557" w:type="pct"/>
            <w:vMerge w:val="restart"/>
            <w:tcBorders>
              <w:top w:val="single" w:color="auto" w:sz="4" w:space="0"/>
              <w:left w:val="nil"/>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温室、</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大棚</w:t>
            </w:r>
          </w:p>
        </w:tc>
        <w:tc>
          <w:tcPr>
            <w:tcW w:w="2062" w:type="pct"/>
            <w:gridSpan w:val="2"/>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396"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90-110</w:t>
            </w:r>
          </w:p>
        </w:tc>
        <w:tc>
          <w:tcPr>
            <w:tcW w:w="873"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钢骨架（复合材料骨架）</w:t>
            </w:r>
          </w:p>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塑料大棚</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普通塑料大棚</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25-45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79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围墙</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87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水泥抹面</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增加</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10元/</w:t>
            </w:r>
            <w:r>
              <w:rPr>
                <w:rFonts w:ascii="Times New Roman" w:hAnsi="Times New Roman" w:eastAsia="方正仿宋_GBK"/>
                <w:kern w:val="0"/>
                <w:sz w:val="28"/>
                <w:szCs w:val="28"/>
              </w:rPr>
              <w:t>㎡</w:t>
            </w: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87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87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场地</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道路</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25-45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2618" w:type="pct"/>
            <w:gridSpan w:val="3"/>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firstLine="14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地下窖、果窖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坟墓</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1200</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wBefore w:w="0" w:type="dxa"/>
          <w:wAfter w:w="0" w:type="dxa"/>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bl>
    <w:p>
      <w:pPr>
        <w:overflowPunct w:val="0"/>
        <w:topLinePunct/>
        <w:adjustRightInd w:val="0"/>
        <w:spacing w:line="600" w:lineRule="exact"/>
        <w:ind w:firstLine="640" w:firstLineChars="200"/>
        <w:jc w:val="center"/>
        <w:outlineLvl w:val="2"/>
        <w:rPr>
          <w:rFonts w:ascii="Times New Roman" w:hAnsi="Times New Roman" w:eastAsia="方正黑体_GBK"/>
          <w:bCs/>
          <w:sz w:val="32"/>
          <w:szCs w:val="32"/>
        </w:rPr>
      </w:pPr>
      <w:r>
        <w:rPr>
          <w:rFonts w:ascii="Times New Roman" w:hAnsi="Times New Roman" w:eastAsia="方正黑体_GBK"/>
          <w:bCs/>
          <w:sz w:val="32"/>
          <w:szCs w:val="32"/>
        </w:rPr>
        <w:t>三、农田水利、电力设施补偿标准</w:t>
      </w:r>
    </w:p>
    <w:tbl>
      <w:tblPr>
        <w:tblStyle w:val="18"/>
        <w:tblW w:w="8930" w:type="dxa"/>
        <w:jc w:val="center"/>
        <w:tblLayout w:type="fixed"/>
        <w:tblCellMar>
          <w:top w:w="28" w:type="dxa"/>
          <w:left w:w="0" w:type="dxa"/>
          <w:bottom w:w="28" w:type="dxa"/>
          <w:right w:w="0" w:type="dxa"/>
        </w:tblCellMar>
      </w:tblPr>
      <w:tblGrid>
        <w:gridCol w:w="709"/>
        <w:gridCol w:w="709"/>
        <w:gridCol w:w="1984"/>
        <w:gridCol w:w="3402"/>
        <w:gridCol w:w="709"/>
        <w:gridCol w:w="1417"/>
      </w:tblGrid>
      <w:tr>
        <w:tblPrEx>
          <w:tblCellMar>
            <w:top w:w="28" w:type="dxa"/>
            <w:left w:w="0" w:type="dxa"/>
            <w:bottom w:w="28" w:type="dxa"/>
            <w:right w:w="0" w:type="dxa"/>
          </w:tblCellMar>
        </w:tblPrEx>
        <w:trPr>
          <w:wBefore w:w="0" w:type="dxa"/>
          <w:wAfter w:w="0" w:type="dxa"/>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序号</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分类</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规　　格</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单位（元）</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明沟</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浆砌石块</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130-180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砖砌明沟</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100-140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（口径＜30厘米）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机井（30厘米≤口径＜60厘米）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（1.2米以下）</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200-260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（1.2米以下）</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240-280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木杆、水泥杆</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35-45</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水泥行条</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CellMar>
            <w:top w:w="28" w:type="dxa"/>
            <w:left w:w="0" w:type="dxa"/>
            <w:bottom w:w="28" w:type="dxa"/>
            <w:right w:w="0" w:type="dxa"/>
          </w:tblCellMar>
        </w:tblPrEx>
        <w:trPr>
          <w:wBefore w:w="0" w:type="dxa"/>
          <w:wAfter w:w="0" w:type="dxa"/>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毛竹</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元/根</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注：1．对在特殊地质构造（如岩石）地区打凿的机井,按照水利部门相关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四、树木移栽补偿标准</w:t>
      </w:r>
    </w:p>
    <w:tbl>
      <w:tblPr>
        <w:tblStyle w:val="18"/>
        <w:tblW w:w="4887" w:type="pct"/>
        <w:jc w:val="center"/>
        <w:tblLayout w:type="autofit"/>
        <w:tblCellMar>
          <w:top w:w="0" w:type="dxa"/>
          <w:left w:w="0" w:type="dxa"/>
          <w:bottom w:w="0" w:type="dxa"/>
          <w:right w:w="0" w:type="dxa"/>
        </w:tblCellMar>
      </w:tblPr>
      <w:tblGrid>
        <w:gridCol w:w="1729"/>
        <w:gridCol w:w="3287"/>
        <w:gridCol w:w="1560"/>
        <w:gridCol w:w="2209"/>
      </w:tblGrid>
      <w:tr>
        <w:tblPrEx>
          <w:tblCellMar>
            <w:top w:w="0" w:type="dxa"/>
            <w:left w:w="0" w:type="dxa"/>
            <w:bottom w:w="0" w:type="dxa"/>
            <w:right w:w="0" w:type="dxa"/>
          </w:tblCellMar>
        </w:tblPrEx>
        <w:trPr>
          <w:wBefore w:w="0" w:type="dxa"/>
          <w:wAfter w:w="0" w:type="dxa"/>
          <w:trHeight w:val="539" w:hRule="atLeast"/>
          <w:jc w:val="center"/>
        </w:trPr>
        <w:tc>
          <w:tcPr>
            <w:tcW w:w="984"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树　种</w:t>
            </w:r>
          </w:p>
        </w:tc>
        <w:tc>
          <w:tcPr>
            <w:tcW w:w="187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胸径（cm）</w:t>
            </w:r>
          </w:p>
        </w:tc>
        <w:tc>
          <w:tcPr>
            <w:tcW w:w="888"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257"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普通树木</w:t>
            </w: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888" w:type="pct"/>
            <w:vMerge w:val="restar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元/棵</w:t>
            </w: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23</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38</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68</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98</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果　树</w:t>
            </w: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wBefore w:w="0" w:type="dxa"/>
          <w:wAfter w:w="0" w:type="dxa"/>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w:t>
            </w:r>
          </w:p>
        </w:tc>
        <w:tc>
          <w:tcPr>
            <w:tcW w:w="888"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4500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2．树木密度超过每平方米7棵，按面积补偿：一般树木5元/平方米，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果树8元/平方米；</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3．风景树、花木、桑园、竹园等比照果树标准赔偿；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4．移植、砍伐树木归原主；</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6．葡萄树幼苗15元/棵，成果55元/棵。</w:t>
      </w:r>
    </w:p>
    <w:p>
      <w:pPr>
        <w:overflowPunct w:val="0"/>
        <w:topLinePunct/>
        <w:adjustRightInd w:val="0"/>
        <w:spacing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水产养殖池塘补偿标准为2750元／亩；苇塘、藕塘补偿标准为2750元／亩。</w:t>
      </w:r>
    </w:p>
    <w:p>
      <w:pPr>
        <w:overflowPunct w:val="0"/>
        <w:topLinePunct/>
        <w:adjustRightInd w:val="0"/>
        <w:spacing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六、青苗补偿标准</w:t>
      </w:r>
    </w:p>
    <w:tbl>
      <w:tblPr>
        <w:tblStyle w:val="18"/>
        <w:tblW w:w="4896" w:type="pct"/>
        <w:jc w:val="center"/>
        <w:tblLayout w:type="fixed"/>
        <w:tblCellMar>
          <w:top w:w="0" w:type="dxa"/>
          <w:left w:w="0" w:type="dxa"/>
          <w:bottom w:w="0" w:type="dxa"/>
          <w:right w:w="0" w:type="dxa"/>
        </w:tblCellMar>
      </w:tblPr>
      <w:tblGrid>
        <w:gridCol w:w="1275"/>
        <w:gridCol w:w="1653"/>
        <w:gridCol w:w="1527"/>
        <w:gridCol w:w="1835"/>
        <w:gridCol w:w="2505"/>
      </w:tblGrid>
      <w:tr>
        <w:tblPrEx>
          <w:tblCellMar>
            <w:top w:w="0" w:type="dxa"/>
            <w:left w:w="0" w:type="dxa"/>
            <w:bottom w:w="0" w:type="dxa"/>
            <w:right w:w="0" w:type="dxa"/>
          </w:tblCellMar>
        </w:tblPrEx>
        <w:trPr>
          <w:wBefore w:w="0" w:type="dxa"/>
          <w:wAfter w:w="0" w:type="dxa"/>
          <w:trHeight w:val="567" w:hRule="atLeast"/>
          <w:jc w:val="center"/>
        </w:trPr>
        <w:tc>
          <w:tcPr>
            <w:tcW w:w="1665" w:type="pct"/>
            <w:gridSpan w:val="2"/>
            <w:tcBorders>
              <w:top w:val="single" w:color="000000" w:sz="8"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868" w:type="pct"/>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单位</w:t>
            </w:r>
          </w:p>
        </w:tc>
        <w:tc>
          <w:tcPr>
            <w:tcW w:w="1043" w:type="pct"/>
            <w:tcBorders>
              <w:top w:val="single" w:color="000000" w:sz="8" w:space="0"/>
              <w:left w:val="single" w:color="000000" w:sz="4" w:space="0"/>
              <w:bottom w:val="single" w:color="000000" w:sz="4" w:space="0"/>
              <w:right w:val="single" w:color="000000" w:sz="4"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补偿标准</w:t>
            </w:r>
          </w:p>
        </w:tc>
        <w:tc>
          <w:tcPr>
            <w:tcW w:w="1425" w:type="pct"/>
            <w:tcBorders>
              <w:top w:val="single" w:color="000000" w:sz="8"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备注</w:t>
            </w:r>
          </w:p>
        </w:tc>
      </w:tr>
      <w:tr>
        <w:tblPrEx>
          <w:tblCellMar>
            <w:top w:w="0" w:type="dxa"/>
            <w:left w:w="0" w:type="dxa"/>
            <w:bottom w:w="0" w:type="dxa"/>
            <w:right w:w="0" w:type="dxa"/>
          </w:tblCellMar>
        </w:tblPrEx>
        <w:trPr>
          <w:wBefore w:w="0" w:type="dxa"/>
          <w:wAfter w:w="0" w:type="dxa"/>
          <w:trHeight w:val="567" w:hRule="atLeast"/>
          <w:jc w:val="center"/>
        </w:trPr>
        <w:tc>
          <w:tcPr>
            <w:tcW w:w="1665" w:type="pct"/>
            <w:gridSpan w:val="2"/>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青　苗</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1145</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12" w:hRule="atLeast"/>
          <w:jc w:val="center"/>
        </w:trPr>
        <w:tc>
          <w:tcPr>
            <w:tcW w:w="1665" w:type="pct"/>
            <w:gridSpan w:val="2"/>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5470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株数密度≥400株/亩</w:t>
            </w:r>
          </w:p>
        </w:tc>
      </w:tr>
      <w:tr>
        <w:tblPrEx>
          <w:tblCellMar>
            <w:top w:w="0" w:type="dxa"/>
            <w:left w:w="0" w:type="dxa"/>
            <w:bottom w:w="0" w:type="dxa"/>
            <w:right w:w="0" w:type="dxa"/>
          </w:tblCellMar>
        </w:tblPrEx>
        <w:trPr>
          <w:wBefore w:w="0" w:type="dxa"/>
          <w:wAfter w:w="0" w:type="dxa"/>
          <w:trHeight w:val="567" w:hRule="atLeast"/>
          <w:jc w:val="center"/>
        </w:trPr>
        <w:tc>
          <w:tcPr>
            <w:tcW w:w="725" w:type="pct"/>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6710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25" w:type="pct"/>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3360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25" w:type="pct"/>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大棚种植</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5590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1665" w:type="pct"/>
            <w:gridSpan w:val="2"/>
            <w:tcBorders>
              <w:top w:val="single" w:color="000000" w:sz="4" w:space="0"/>
              <w:left w:val="single" w:color="000000" w:sz="8"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菜　地</w:t>
            </w:r>
          </w:p>
        </w:tc>
        <w:tc>
          <w:tcPr>
            <w:tcW w:w="868" w:type="pct"/>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2470</w:t>
            </w:r>
          </w:p>
        </w:tc>
        <w:tc>
          <w:tcPr>
            <w:tcW w:w="1425" w:type="pct"/>
            <w:tcBorders>
              <w:top w:val="single" w:color="000000" w:sz="4" w:space="0"/>
              <w:left w:val="single" w:color="000000" w:sz="4" w:space="0"/>
              <w:bottom w:val="single" w:color="000000" w:sz="8"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640" w:firstLineChars="200"/>
        <w:rPr>
          <w:rFonts w:ascii="Times New Roman" w:hAnsi="Times New Roman" w:eastAsia="方正仿宋_GBK"/>
          <w:bCs/>
          <w:color w:val="000000"/>
          <w:sz w:val="32"/>
          <w:szCs w:val="32"/>
        </w:rPr>
      </w:pPr>
    </w:p>
    <w:bookmarkEnd w:id="0"/>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outlineLvl w:val="0"/>
        <w:rPr>
          <w:rFonts w:ascii="Times New Roman" w:hAnsi="Times New Roman" w:eastAsia="方正黑体_GBK"/>
          <w:bCs/>
          <w:sz w:val="32"/>
          <w:szCs w:val="32"/>
        </w:rPr>
      </w:pPr>
      <w:r>
        <w:rPr>
          <w:rFonts w:ascii="Times New Roman" w:hAnsi="Times New Roman" w:eastAsia="方正黑体_GBK"/>
          <w:bCs/>
          <w:sz w:val="32"/>
          <w:szCs w:val="32"/>
        </w:rPr>
        <w:t>附件4</w:t>
      </w:r>
    </w:p>
    <w:p>
      <w:pPr>
        <w:overflowPunct w:val="0"/>
        <w:topLinePunct/>
        <w:adjustRightInd w:val="0"/>
        <w:spacing w:line="600" w:lineRule="exact"/>
        <w:outlineLvl w:val="0"/>
        <w:rPr>
          <w:rFonts w:ascii="Times New Roman" w:hAnsi="Times New Roman" w:eastAsia="方正仿宋_GBK"/>
          <w:bCs/>
          <w:sz w:val="32"/>
          <w:szCs w:val="32"/>
        </w:rPr>
      </w:pPr>
    </w:p>
    <w:p>
      <w:pPr>
        <w:overflowPunct w:val="0"/>
        <w:topLinePunct/>
        <w:adjustRightInd w:val="0"/>
        <w:spacing w:line="600" w:lineRule="exact"/>
        <w:jc w:val="center"/>
        <w:outlineLvl w:val="0"/>
        <w:rPr>
          <w:rFonts w:ascii="Times New Roman" w:hAnsi="Times New Roman" w:eastAsia="方正小标宋_GBK"/>
          <w:kern w:val="0"/>
          <w:sz w:val="44"/>
          <w:szCs w:val="44"/>
        </w:rPr>
      </w:pPr>
      <w:r>
        <w:rPr>
          <w:rFonts w:ascii="Times New Roman" w:hAnsi="Times New Roman" w:eastAsia="方正小标宋_GBK"/>
          <w:kern w:val="0"/>
          <w:sz w:val="44"/>
          <w:szCs w:val="44"/>
        </w:rPr>
        <w:t>灵璧县被征土地青苗及地上附着物补偿标准</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p>
    <w:p>
      <w:pPr>
        <w:overflowPunct w:val="0"/>
        <w:topLinePunct/>
        <w:adjustRightInd w:val="0"/>
        <w:spacing w:line="600" w:lineRule="exact"/>
        <w:ind w:firstLine="640" w:firstLineChars="200"/>
        <w:outlineLvl w:val="0"/>
        <w:rPr>
          <w:rFonts w:ascii="Times New Roman" w:hAnsi="Times New Roman" w:eastAsia="方正黑体_GBK"/>
          <w:b/>
          <w:bCs/>
          <w:sz w:val="32"/>
          <w:szCs w:val="32"/>
        </w:rPr>
      </w:pPr>
      <w:r>
        <w:rPr>
          <w:rFonts w:ascii="Times New Roman" w:hAnsi="Times New Roman" w:eastAsia="方正黑体_GBK"/>
          <w:kern w:val="0"/>
          <w:sz w:val="32"/>
          <w:szCs w:val="32"/>
        </w:rPr>
        <w:t>一、居住房屋补偿标准</w:t>
      </w:r>
      <w:bookmarkStart w:id="1" w:name="_Toc2891"/>
    </w:p>
    <w:p>
      <w:pPr>
        <w:overflowPunct w:val="0"/>
        <w:topLinePunct/>
        <w:adjustRightInd w:val="0"/>
        <w:spacing w:line="600" w:lineRule="exact"/>
        <w:ind w:firstLine="640" w:firstLineChars="200"/>
        <w:outlineLvl w:val="0"/>
        <w:rPr>
          <w:rFonts w:ascii="Times New Roman" w:hAnsi="Times New Roman" w:eastAsia="方正楷体_GBK"/>
          <w:b/>
          <w:bCs/>
          <w:sz w:val="32"/>
          <w:szCs w:val="32"/>
        </w:rPr>
      </w:pPr>
      <w:r>
        <w:rPr>
          <w:rFonts w:ascii="Times New Roman" w:hAnsi="Times New Roman" w:eastAsia="方正楷体_GBK"/>
          <w:kern w:val="0"/>
          <w:sz w:val="32"/>
          <w:szCs w:val="32"/>
        </w:rPr>
        <w:t>（一）拆迁房屋重置价格参照表</w:t>
      </w:r>
      <w:bookmarkEnd w:id="1"/>
      <w:r>
        <w:rPr>
          <w:rFonts w:ascii="Times New Roman" w:hAnsi="Times New Roman" w:eastAsia="方正楷体_GBK"/>
          <w:kern w:val="0"/>
          <w:sz w:val="32"/>
          <w:szCs w:val="32"/>
        </w:rPr>
        <w:t>。</w:t>
      </w:r>
    </w:p>
    <w:tbl>
      <w:tblPr>
        <w:tblStyle w:val="18"/>
        <w:tblW w:w="4936" w:type="pct"/>
        <w:jc w:val="center"/>
        <w:tblLayout w:type="fixed"/>
        <w:tblCellMar>
          <w:top w:w="0" w:type="dxa"/>
          <w:left w:w="0" w:type="dxa"/>
          <w:bottom w:w="0" w:type="dxa"/>
          <w:right w:w="0" w:type="dxa"/>
        </w:tblCellMar>
      </w:tblPr>
      <w:tblGrid>
        <w:gridCol w:w="667"/>
        <w:gridCol w:w="710"/>
        <w:gridCol w:w="6429"/>
        <w:gridCol w:w="1067"/>
      </w:tblGrid>
      <w:tr>
        <w:tblPrEx>
          <w:tblCellMar>
            <w:top w:w="0" w:type="dxa"/>
            <w:left w:w="0" w:type="dxa"/>
            <w:bottom w:w="0" w:type="dxa"/>
            <w:right w:w="0" w:type="dxa"/>
          </w:tblCellMar>
        </w:tblPrEx>
        <w:trPr>
          <w:wBefore w:w="0" w:type="dxa"/>
          <w:wAfter w:w="0" w:type="dxa"/>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类别</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等级</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结　构　设　备</w:t>
            </w:r>
          </w:p>
        </w:tc>
        <w:tc>
          <w:tcPr>
            <w:tcW w:w="6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kern w:val="0"/>
                <w:sz w:val="28"/>
                <w:szCs w:val="28"/>
              </w:rPr>
              <w:t>（元/㎡）</w:t>
            </w:r>
          </w:p>
        </w:tc>
      </w:tr>
      <w:tr>
        <w:tblPrEx>
          <w:tblCellMar>
            <w:top w:w="0" w:type="dxa"/>
            <w:left w:w="0" w:type="dxa"/>
            <w:bottom w:w="0" w:type="dxa"/>
            <w:right w:w="0" w:type="dxa"/>
          </w:tblCellMar>
        </w:tblPrEx>
        <w:trPr>
          <w:wBefore w:w="0" w:type="dxa"/>
          <w:wAfter w:w="0" w:type="dxa"/>
          <w:trHeight w:val="567" w:hRule="atLeast"/>
          <w:jc w:val="center"/>
        </w:trPr>
        <w:tc>
          <w:tcPr>
            <w:tcW w:w="775"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框架</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梁柱承重，现浇屋面，铝塑门窗，高级粉刷，水电卫齐全。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1070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砖混</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240砖墙，钢筋混凝土梁承重，层层设置圈梁和构造柱，现浇屋面，铝塑门窗，高级粉刷，水电卫齐全。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930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240砖墙承重，设置圈梁或构造柱，多孔板屋面，标准木门窗一玻一纱，中级粉刷，水电卫齐全。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850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180砖墙或240空斗砖墙，无圈梁或构造柱，预制水泥桁条，简易屋面，非标准门窗，普通粉刷，水电齐全。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780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砖木</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240砖墙，瓦屋面，木桁条，标准门窗，水泥地坪，水电卫齐全，外墙粉刷。</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240或180砖墙，瓦屋面，木桁条或预制桁条，标准门窗，水泥地坪，水电齐全，清水墙。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640</w:t>
            </w:r>
          </w:p>
        </w:tc>
      </w:tr>
      <w:tr>
        <w:tblPrEx>
          <w:tblCellMar>
            <w:top w:w="0" w:type="dxa"/>
            <w:left w:w="0" w:type="dxa"/>
            <w:bottom w:w="0" w:type="dxa"/>
            <w:right w:w="0" w:type="dxa"/>
          </w:tblCellMar>
        </w:tblPrEx>
        <w:trPr>
          <w:wBefore w:w="0" w:type="dxa"/>
          <w:wAfter w:w="0" w:type="dxa"/>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240或180砖墙或土墙，简易屋面，非标准门窗，水电齐全。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570</w:t>
            </w:r>
          </w:p>
        </w:tc>
      </w:tr>
      <w:tr>
        <w:tblPrEx>
          <w:tblCellMar>
            <w:top w:w="0" w:type="dxa"/>
            <w:left w:w="0" w:type="dxa"/>
            <w:bottom w:w="0" w:type="dxa"/>
            <w:right w:w="0" w:type="dxa"/>
          </w:tblCellMar>
        </w:tblPrEx>
        <w:trPr>
          <w:wBefore w:w="0" w:type="dxa"/>
          <w:wAfter w:w="0" w:type="dxa"/>
          <w:trHeight w:val="567" w:hRule="atLeast"/>
          <w:jc w:val="center"/>
        </w:trPr>
        <w:tc>
          <w:tcPr>
            <w:tcW w:w="775"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其他结构</w:t>
            </w:r>
          </w:p>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房屋</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低于砖木三等以下的标准房屋。</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480</w:t>
            </w:r>
          </w:p>
        </w:tc>
      </w:tr>
      <w:tr>
        <w:tblPrEx>
          <w:tblCellMar>
            <w:top w:w="0" w:type="dxa"/>
            <w:left w:w="0" w:type="dxa"/>
            <w:bottom w:w="0" w:type="dxa"/>
            <w:right w:w="0" w:type="dxa"/>
          </w:tblCellMar>
        </w:tblPrEx>
        <w:trPr>
          <w:wBefore w:w="0" w:type="dxa"/>
          <w:wAfter w:w="0" w:type="dxa"/>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厂房</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砖混结构，净高4m、空心板顶、砖墙。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520</w:t>
            </w:r>
          </w:p>
        </w:tc>
      </w:tr>
      <w:tr>
        <w:tblPrEx>
          <w:tblCellMar>
            <w:top w:w="0" w:type="dxa"/>
            <w:left w:w="0" w:type="dxa"/>
            <w:bottom w:w="0" w:type="dxa"/>
            <w:right w:w="0" w:type="dxa"/>
          </w:tblCellMar>
        </w:tblPrEx>
        <w:trPr>
          <w:wBefore w:w="0" w:type="dxa"/>
          <w:wAfter w:w="0" w:type="dxa"/>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仓库</w:t>
            </w: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仿宋_GBK"/>
                <w:color w:val="000000"/>
                <w:sz w:val="28"/>
                <w:szCs w:val="28"/>
              </w:rPr>
            </w:pP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砖混结构，净高4m、石棉瓦顶、砖墙。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r>
      <w:tr>
        <w:tblPrEx>
          <w:tblCellMar>
            <w:top w:w="0" w:type="dxa"/>
            <w:left w:w="0" w:type="dxa"/>
            <w:bottom w:w="0" w:type="dxa"/>
            <w:right w:w="0" w:type="dxa"/>
          </w:tblCellMar>
        </w:tblPrEx>
        <w:trPr>
          <w:wBefore w:w="0" w:type="dxa"/>
          <w:wAfter w:w="0" w:type="dxa"/>
          <w:trHeight w:val="567" w:hRule="atLeast"/>
          <w:jc w:val="center"/>
        </w:trPr>
        <w:tc>
          <w:tcPr>
            <w:tcW w:w="77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房基</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有砖石基础，有钢筋砼圈梁。</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r>
      <w:tr>
        <w:tblPrEx>
          <w:tblCellMar>
            <w:top w:w="0" w:type="dxa"/>
            <w:left w:w="0" w:type="dxa"/>
            <w:bottom w:w="0" w:type="dxa"/>
            <w:right w:w="0" w:type="dxa"/>
          </w:tblCellMar>
        </w:tblPrEx>
        <w:trPr>
          <w:wBefore w:w="0" w:type="dxa"/>
          <w:wAfter w:w="0" w:type="dxa"/>
          <w:trHeight w:val="567" w:hRule="atLeast"/>
          <w:jc w:val="center"/>
        </w:trPr>
        <w:tc>
          <w:tcPr>
            <w:tcW w:w="77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有砖石基础，无圈梁。</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（二）房屋拆迁补助补偿标准。</w:t>
      </w:r>
    </w:p>
    <w:p>
      <w:pPr>
        <w:overflowPunct w:val="0"/>
        <w:topLinePunct/>
        <w:adjustRightInd w:val="0"/>
        <w:spacing w:line="600" w:lineRule="exact"/>
        <w:ind w:firstLine="643" w:firstLineChars="200"/>
        <w:rPr>
          <w:rFonts w:ascii="Times New Roman" w:hAnsi="Times New Roman" w:eastAsia="方正仿宋_GBK"/>
          <w:kern w:val="0"/>
          <w:sz w:val="32"/>
          <w:szCs w:val="32"/>
        </w:rPr>
      </w:pPr>
      <w:r>
        <w:rPr>
          <w:rFonts w:ascii="Times New Roman" w:hAnsi="Times New Roman" w:eastAsia="方正仿宋_GBK"/>
          <w:b/>
          <w:bCs/>
          <w:kern w:val="0"/>
          <w:sz w:val="32"/>
          <w:szCs w:val="32"/>
        </w:rPr>
        <w:t>1．搬迁补助费：</w:t>
      </w:r>
      <w:r>
        <w:rPr>
          <w:rFonts w:ascii="Times New Roman" w:hAnsi="Times New Roman" w:eastAsia="方正仿宋_GBK"/>
          <w:kern w:val="0"/>
          <w:sz w:val="32"/>
          <w:szCs w:val="32"/>
        </w:rPr>
        <w:t>按被拆迁房屋建筑面积6元/平方米计算。</w:t>
      </w:r>
    </w:p>
    <w:p>
      <w:pPr>
        <w:overflowPunct w:val="0"/>
        <w:topLinePunct/>
        <w:adjustRightInd w:val="0"/>
        <w:spacing w:line="600" w:lineRule="exact"/>
        <w:ind w:firstLine="643" w:firstLineChars="200"/>
        <w:rPr>
          <w:rFonts w:ascii="Times New Roman" w:hAnsi="Times New Roman" w:eastAsia="方正仿宋_GBK"/>
          <w:kern w:val="0"/>
          <w:sz w:val="32"/>
          <w:szCs w:val="32"/>
        </w:rPr>
      </w:pPr>
      <w:r>
        <w:rPr>
          <w:rFonts w:ascii="Times New Roman" w:hAnsi="Times New Roman" w:eastAsia="方正仿宋_GBK"/>
          <w:b/>
          <w:bCs/>
          <w:kern w:val="0"/>
          <w:sz w:val="32"/>
          <w:szCs w:val="32"/>
        </w:rPr>
        <w:t>2．临时安置补助费：</w:t>
      </w:r>
      <w:r>
        <w:rPr>
          <w:rFonts w:ascii="Times New Roman" w:hAnsi="Times New Roman" w:eastAsia="方正仿宋_GBK"/>
          <w:kern w:val="0"/>
          <w:sz w:val="32"/>
          <w:szCs w:val="32"/>
        </w:rPr>
        <w:t>灵城规划区以外按被拆迁房屋面积5元/平方米·月计算，规划区以内参照灵璧县国有土地房屋征收与补偿文件标准执行。</w:t>
      </w:r>
    </w:p>
    <w:p>
      <w:pPr>
        <w:overflowPunct w:val="0"/>
        <w:topLinePunct/>
        <w:adjustRightInd w:val="0"/>
        <w:spacing w:line="600" w:lineRule="exact"/>
        <w:ind w:firstLine="643" w:firstLineChars="200"/>
        <w:rPr>
          <w:rFonts w:ascii="Times New Roman" w:hAnsi="Times New Roman" w:eastAsia="方正仿宋_GBK"/>
          <w:b/>
          <w:bCs/>
          <w:kern w:val="0"/>
          <w:sz w:val="32"/>
          <w:szCs w:val="32"/>
        </w:rPr>
      </w:pPr>
      <w:r>
        <w:rPr>
          <w:rFonts w:ascii="Times New Roman" w:hAnsi="Times New Roman" w:eastAsia="方正仿宋_GBK"/>
          <w:b/>
          <w:bCs/>
          <w:kern w:val="0"/>
          <w:sz w:val="32"/>
          <w:szCs w:val="32"/>
        </w:rPr>
        <w:t>3．非住宅房屋停产、停业补偿费：</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（1）实行产权调换的商业用房：按被拆迁房屋</w:t>
      </w:r>
      <w:r>
        <w:rPr>
          <w:rFonts w:ascii="Times New Roman" w:hAnsi="Times New Roman" w:eastAsia="方正仿宋_GBK"/>
          <w:color w:val="000000"/>
          <w:kern w:val="0"/>
          <w:sz w:val="32"/>
          <w:szCs w:val="32"/>
        </w:rPr>
        <w:t>建筑面积12－34元／平方米·月计算；</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（2）实行产权调换的</w:t>
      </w:r>
      <w:r>
        <w:rPr>
          <w:rFonts w:ascii="Times New Roman" w:hAnsi="Times New Roman" w:eastAsia="方正仿宋_GBK"/>
          <w:color w:val="000000"/>
          <w:kern w:val="0"/>
          <w:sz w:val="32"/>
          <w:szCs w:val="32"/>
        </w:rPr>
        <w:t>工业、仓储用房：按被拆迁房屋建筑面积12元／平方米·</w:t>
      </w:r>
      <w:r>
        <w:rPr>
          <w:rFonts w:ascii="Times New Roman" w:hAnsi="Times New Roman" w:eastAsia="方正仿宋_GBK"/>
          <w:kern w:val="0"/>
          <w:sz w:val="32"/>
          <w:szCs w:val="32"/>
        </w:rPr>
        <w:t>月计算。</w:t>
      </w:r>
    </w:p>
    <w:p>
      <w:pPr>
        <w:overflowPunct w:val="0"/>
        <w:topLinePunct/>
        <w:adjustRightInd w:val="0"/>
        <w:spacing w:before="120" w:beforeLines="50" w:after="120" w:afterLines="50"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（三）各类附属物补偿价格参照表。</w:t>
      </w:r>
    </w:p>
    <w:tbl>
      <w:tblPr>
        <w:tblStyle w:val="18"/>
        <w:tblW w:w="4977" w:type="pct"/>
        <w:tblInd w:w="0" w:type="dxa"/>
        <w:tblLayout w:type="autofit"/>
        <w:tblCellMar>
          <w:top w:w="0" w:type="dxa"/>
          <w:left w:w="0" w:type="dxa"/>
          <w:bottom w:w="0" w:type="dxa"/>
          <w:right w:w="0" w:type="dxa"/>
        </w:tblCellMar>
      </w:tblPr>
      <w:tblGrid>
        <w:gridCol w:w="1267"/>
        <w:gridCol w:w="877"/>
        <w:gridCol w:w="1415"/>
        <w:gridCol w:w="1031"/>
        <w:gridCol w:w="1793"/>
        <w:gridCol w:w="2564"/>
      </w:tblGrid>
      <w:tr>
        <w:tblPrEx>
          <w:tblCellMar>
            <w:top w:w="0" w:type="dxa"/>
            <w:left w:w="0" w:type="dxa"/>
            <w:bottom w:w="0" w:type="dxa"/>
            <w:right w:w="0" w:type="dxa"/>
          </w:tblCellMar>
        </w:tblPrEx>
        <w:trPr>
          <w:wBefore w:w="0" w:type="dxa"/>
          <w:wAfter w:w="0" w:type="dxa"/>
          <w:trHeight w:val="567" w:hRule="atLeast"/>
          <w:tblHeader/>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　注</w:t>
            </w:r>
          </w:p>
        </w:tc>
      </w:tr>
      <w:tr>
        <w:tblPrEx>
          <w:tblCellMar>
            <w:top w:w="0" w:type="dxa"/>
            <w:left w:w="0" w:type="dxa"/>
            <w:bottom w:w="0" w:type="dxa"/>
            <w:right w:w="0" w:type="dxa"/>
          </w:tblCellMar>
        </w:tblPrEx>
        <w:trPr>
          <w:wBefore w:w="0" w:type="dxa"/>
          <w:wAfter w:w="0" w:type="dxa"/>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空　调</w:t>
            </w:r>
          </w:p>
        </w:tc>
        <w:tc>
          <w:tcPr>
            <w:tcW w:w="128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柜式</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170</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分体式</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123</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窗式</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太阳能</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145</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电能</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　话</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部</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wBefore w:w="0" w:type="dxa"/>
          <w:wAfter w:w="0" w:type="dxa"/>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有线电视</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wBefore w:w="0" w:type="dxa"/>
          <w:wAfter w:w="0" w:type="dxa"/>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　表</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wBefore w:w="0" w:type="dxa"/>
          <w:wAfter w:w="0" w:type="dxa"/>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　表</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wBefore w:w="0" w:type="dxa"/>
          <w:wAfter w:w="0" w:type="dxa"/>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水龙头</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39</w:t>
            </w: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wBefore w:w="0" w:type="dxa"/>
          <w:wAfter w:w="0" w:type="dxa"/>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室外地坪</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水泥</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砖石</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院　墙</w:t>
            </w:r>
          </w:p>
        </w:tc>
        <w:tc>
          <w:tcPr>
            <w:tcW w:w="1281"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砖石</w:t>
            </w:r>
          </w:p>
        </w:tc>
        <w:tc>
          <w:tcPr>
            <w:tcW w:w="57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00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95</w:t>
            </w:r>
          </w:p>
        </w:tc>
        <w:tc>
          <w:tcPr>
            <w:tcW w:w="1433"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土砖土石</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62</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4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院墙</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大门</w:t>
            </w:r>
          </w:p>
        </w:tc>
        <w:tc>
          <w:tcPr>
            <w:tcW w:w="7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木制</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265</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4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7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铁制</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530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其　他</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门楼（简易）</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121-363</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门楼（浇筑）</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1650-3300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　池</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77</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沼气池（水泥）</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手压水井</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345</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遮阳棚</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金属栏杆</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99</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before="120" w:beforeLines="50" w:after="120" w:afterLines="50" w:line="600" w:lineRule="exact"/>
        <w:ind w:firstLine="640" w:firstLineChars="200"/>
        <w:outlineLvl w:val="0"/>
        <w:rPr>
          <w:rFonts w:ascii="Times New Roman" w:hAnsi="Times New Roman" w:eastAsia="方正楷体_GBK"/>
          <w:b/>
          <w:kern w:val="0"/>
          <w:sz w:val="32"/>
          <w:szCs w:val="32"/>
        </w:rPr>
      </w:pPr>
      <w:r>
        <w:rPr>
          <w:rFonts w:ascii="Times New Roman" w:hAnsi="Times New Roman" w:eastAsia="方正楷体_GBK"/>
          <w:kern w:val="0"/>
          <w:sz w:val="32"/>
          <w:szCs w:val="32"/>
        </w:rPr>
        <w:t>（四）各类装潢补偿价格参照表。</w:t>
      </w:r>
    </w:p>
    <w:tbl>
      <w:tblPr>
        <w:tblStyle w:val="18"/>
        <w:tblW w:w="4877" w:type="pct"/>
        <w:jc w:val="center"/>
        <w:tblLayout w:type="autofit"/>
        <w:tblCellMar>
          <w:top w:w="0" w:type="dxa"/>
          <w:left w:w="0" w:type="dxa"/>
          <w:bottom w:w="0" w:type="dxa"/>
          <w:right w:w="0" w:type="dxa"/>
        </w:tblCellMar>
      </w:tblPr>
      <w:tblGrid>
        <w:gridCol w:w="1257"/>
        <w:gridCol w:w="2811"/>
        <w:gridCol w:w="726"/>
        <w:gridCol w:w="1662"/>
        <w:gridCol w:w="2311"/>
      </w:tblGrid>
      <w:tr>
        <w:tblPrEx>
          <w:tblCellMar>
            <w:top w:w="0" w:type="dxa"/>
            <w:left w:w="0" w:type="dxa"/>
            <w:bottom w:w="0" w:type="dxa"/>
            <w:right w:w="0" w:type="dxa"/>
          </w:tblCellMar>
        </w:tblPrEx>
        <w:trPr>
          <w:wBefore w:w="0" w:type="dxa"/>
          <w:wAfter w:w="0" w:type="dxa"/>
          <w:trHeight w:val="567" w:hRule="atLeast"/>
          <w:tblHeader/>
          <w:jc w:val="center"/>
        </w:trPr>
        <w:tc>
          <w:tcPr>
            <w:tcW w:w="232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备注</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50-88</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102-155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102-153</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铁制大门</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610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墙布、喷塑</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13-20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37-74</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无法移动固定墙柜</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122-310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异性石膏顶</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39</w:t>
            </w:r>
          </w:p>
        </w:tc>
        <w:tc>
          <w:tcPr>
            <w:tcW w:w="13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0" w:type="dxa"/>
            <w:left w:w="0" w:type="dxa"/>
            <w:bottom w:w="0" w:type="dxa"/>
            <w:right w:w="0" w:type="dxa"/>
          </w:tblCellMar>
        </w:tblPrEx>
        <w:trPr>
          <w:wBefore w:w="0" w:type="dxa"/>
          <w:wAfter w:w="0" w:type="dxa"/>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3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120" w:beforeLines="50"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（五）房屋装潢折旧参照标准</w:t>
      </w:r>
      <w:r>
        <w:rPr>
          <w:rFonts w:ascii="Times New Roman" w:hAnsi="Times New Roman" w:eastAsia="方正仿宋_GBK"/>
          <w:b/>
          <w:bCs/>
          <w:sz w:val="32"/>
          <w:szCs w:val="32"/>
        </w:rPr>
        <w:t>。</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1．住宅、商业及其他非住宅房屋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（1）1990年以前建造的房屋给予80%的补偿；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（2）1990年至1999年建造的房屋给予80%-89%的补偿；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（3）1999年至2015年建造的房屋给予90%-99%的补偿；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（4）2015年以后建造的房屋给予100%的补偿。</w:t>
      </w:r>
    </w:p>
    <w:p>
      <w:pPr>
        <w:numPr>
          <w:ilvl w:val="0"/>
          <w:numId w:val="2"/>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商业用房及其他非住宅装潢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3．住宅装潢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二、非居住房屋及附属物补偿</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r>
        <w:rPr>
          <w:rFonts w:ascii="Times New Roman" w:hAnsi="Times New Roman" w:eastAsia="方正仿宋_GBK"/>
          <w:kern w:val="0"/>
          <w:sz w:val="32"/>
          <w:szCs w:val="32"/>
        </w:rPr>
        <w:t>（一）征收土地过程中，对非居住房屋以及附属物按重置价格予以补偿。</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r>
        <w:rPr>
          <w:rFonts w:ascii="Times New Roman" w:hAnsi="Times New Roman" w:eastAsia="方正仿宋_GBK"/>
          <w:kern w:val="0"/>
          <w:sz w:val="32"/>
          <w:szCs w:val="32"/>
        </w:rPr>
        <w:t>（二）非居住房屋及附属物的补偿标准根据下列建筑物的结构标准进行计算。</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1．标准猪、鸡、鸭舍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简易鸡房、鸭房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钢管支架，无维护结构，石棉瓦顶，高3米，水泥地面。</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普通塑料大棚：拱形，高约2米，内部竹竿骨架，覆盖材料为单层无滴塑料薄膜。</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包括：泥结碎石道路、素混凝土道路（200毫米）、煤矸石道路（100毫米）、沥青道路（1层灰土，40－60毫米沥青灌入式砼，10－20毫米沥青面层）。</w:t>
      </w:r>
    </w:p>
    <w:p>
      <w:pPr>
        <w:overflowPunct w:val="0"/>
        <w:topLinePunct/>
        <w:adjustRightInd w:val="0"/>
        <w:spacing w:line="600" w:lineRule="exact"/>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黑体_GBK"/>
          <w:kern w:val="0"/>
          <w:sz w:val="32"/>
          <w:szCs w:val="32"/>
        </w:rPr>
      </w:pPr>
      <w:r>
        <w:rPr>
          <w:rFonts w:ascii="Times New Roman" w:hAnsi="Times New Roman" w:eastAsia="方正黑体_GBK"/>
          <w:kern w:val="0"/>
          <w:sz w:val="32"/>
          <w:szCs w:val="32"/>
        </w:rPr>
        <w:t>非居住房屋及附属物补偿标准</w:t>
      </w:r>
    </w:p>
    <w:tbl>
      <w:tblPr>
        <w:tblStyle w:val="18"/>
        <w:tblW w:w="4898" w:type="pct"/>
        <w:jc w:val="center"/>
        <w:tblLayout w:type="autofit"/>
        <w:tblCellMar>
          <w:top w:w="0" w:type="dxa"/>
          <w:left w:w="0" w:type="dxa"/>
          <w:bottom w:w="0" w:type="dxa"/>
          <w:right w:w="0" w:type="dxa"/>
        </w:tblCellMar>
      </w:tblPr>
      <w:tblGrid>
        <w:gridCol w:w="741"/>
        <w:gridCol w:w="1544"/>
        <w:gridCol w:w="1699"/>
        <w:gridCol w:w="1986"/>
        <w:gridCol w:w="1135"/>
        <w:gridCol w:w="1700"/>
      </w:tblGrid>
      <w:tr>
        <w:tblPrEx>
          <w:tblCellMar>
            <w:top w:w="0" w:type="dxa"/>
            <w:left w:w="0" w:type="dxa"/>
            <w:bottom w:w="0" w:type="dxa"/>
            <w:right w:w="0" w:type="dxa"/>
          </w:tblCellMar>
        </w:tblPrEx>
        <w:trPr>
          <w:wBefore w:w="0" w:type="dxa"/>
          <w:wAfter w:w="0" w:type="dxa"/>
          <w:trHeight w:val="624" w:hRule="atLeast"/>
          <w:tblHeader/>
          <w:jc w:val="center"/>
        </w:trPr>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序号</w:t>
            </w:r>
          </w:p>
        </w:tc>
        <w:tc>
          <w:tcPr>
            <w:tcW w:w="8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分类</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单位（元）</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非居住房屋</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350-420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100-240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220-300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245-360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　室</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90-170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连栋温室</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330-550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　棚</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连栋钢架塑料大棚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25-50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镀锌钢管骨架大棚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11-22</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竹木棚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8-10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w:t>
            </w:r>
          </w:p>
        </w:tc>
        <w:tc>
          <w:tcPr>
            <w:tcW w:w="87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965" w:type="pct"/>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290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　墙</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围墙（水泥抹灰砖墙）</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75-135</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土坯墙</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31-63</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87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　地</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20-25</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47-60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13.5-53</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13.5-27</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　路</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13.5-27</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60-80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9-14</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75-80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　墓</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700</w:t>
            </w:r>
          </w:p>
        </w:tc>
      </w:tr>
      <w:tr>
        <w:tblPrEx>
          <w:tblCellMar>
            <w:top w:w="0" w:type="dxa"/>
            <w:left w:w="0" w:type="dxa"/>
            <w:bottom w:w="0" w:type="dxa"/>
            <w:right w:w="0" w:type="dxa"/>
          </w:tblCellMar>
        </w:tblPrEx>
        <w:trPr>
          <w:wBefore w:w="0" w:type="dxa"/>
          <w:wAfter w:w="0" w:type="dxa"/>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r>
    </w:tbl>
    <w:p>
      <w:pPr>
        <w:numPr>
          <w:ilvl w:val="0"/>
          <w:numId w:val="4"/>
        </w:numPr>
        <w:overflowPunct w:val="0"/>
        <w:topLinePunct/>
        <w:adjustRightInd w:val="0"/>
        <w:spacing w:before="120" w:beforeLines="50" w:after="120" w:afterLines="50"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农田水利、电力设施补偿标准</w:t>
      </w:r>
    </w:p>
    <w:tbl>
      <w:tblPr>
        <w:tblStyle w:val="18"/>
        <w:tblW w:w="496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09"/>
        <w:gridCol w:w="709"/>
        <w:gridCol w:w="1911"/>
        <w:gridCol w:w="3613"/>
        <w:gridCol w:w="71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blHeader/>
        </w:trPr>
        <w:tc>
          <w:tcPr>
            <w:tcW w:w="397"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序号</w:t>
            </w:r>
          </w:p>
        </w:tc>
        <w:tc>
          <w:tcPr>
            <w:tcW w:w="397"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分类</w:t>
            </w:r>
          </w:p>
        </w:tc>
        <w:tc>
          <w:tcPr>
            <w:tcW w:w="1070"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2023"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规　　格</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明沟</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浆砌石块</w:t>
            </w:r>
          </w:p>
        </w:tc>
        <w:tc>
          <w:tcPr>
            <w:tcW w:w="2023" w:type="pct"/>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砖砌明沟</w:t>
            </w:r>
          </w:p>
        </w:tc>
        <w:tc>
          <w:tcPr>
            <w:tcW w:w="2023" w:type="pct"/>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井</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机　井</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（深≥30米）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眼</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机　井</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（深&lt;30米）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1431"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涵洞</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（1.2米以下）</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1792"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（1.2米以下）</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305-365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涵管</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（素混凝土）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（素混凝土）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（钢筋混凝土）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（钢筋混凝土）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491" w:type="pct"/>
            <w:gridSpan w:val="3"/>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注：新修涵管桥（5米宽、修筑挡土墙和栏杆）按4400元/座补偿</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电杆</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木杆、水泥杆</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highlight w:val="yellow"/>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水泥行条</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毛　竹</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根</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39</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2．对变压器、输电线路等设施按照电力部门相关规定和行业标准</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给予补偿。电力、通讯设施类，继续利用的按迁建费用补偿，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line="600" w:lineRule="exact"/>
        <w:ind w:firstLine="640" w:firstLineChars="200"/>
        <w:rPr>
          <w:rFonts w:ascii="Times New Roman" w:hAnsi="Times New Roman" w:eastAsia="方正黑体_GBK"/>
          <w:kern w:val="0"/>
          <w:sz w:val="32"/>
          <w:szCs w:val="32"/>
        </w:rPr>
      </w:pPr>
      <w:r>
        <w:rPr>
          <w:rFonts w:ascii="Times New Roman" w:hAnsi="Times New Roman" w:eastAsia="方正黑体_GBK"/>
          <w:color w:val="000000"/>
          <w:sz w:val="32"/>
          <w:szCs w:val="32"/>
        </w:rPr>
        <w:t>四、树木移栽补偿标准</w:t>
      </w:r>
    </w:p>
    <w:tbl>
      <w:tblPr>
        <w:tblStyle w:val="18"/>
        <w:tblW w:w="5000" w:type="pct"/>
        <w:jc w:val="center"/>
        <w:tblLayout w:type="autofit"/>
        <w:tblCellMar>
          <w:top w:w="0" w:type="dxa"/>
          <w:left w:w="0" w:type="dxa"/>
          <w:bottom w:w="0" w:type="dxa"/>
          <w:right w:w="0" w:type="dxa"/>
        </w:tblCellMar>
      </w:tblPr>
      <w:tblGrid>
        <w:gridCol w:w="3184"/>
        <w:gridCol w:w="1934"/>
        <w:gridCol w:w="3870"/>
      </w:tblGrid>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胸径（cm）</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单位：元/棵</w:t>
            </w:r>
          </w:p>
        </w:tc>
        <w:tc>
          <w:tcPr>
            <w:tcW w:w="21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果树</w:t>
            </w: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215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普通树（元/棵）</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果园桑园4400/亩</w:t>
            </w: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29</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400" w:lineRule="exact"/>
        <w:rPr>
          <w:rFonts w:ascii="Times New Roman" w:hAnsi="Times New Roman" w:eastAsia="方正仿宋_GBK"/>
          <w:sz w:val="28"/>
          <w:szCs w:val="28"/>
        </w:rPr>
      </w:pPr>
    </w:p>
    <w:p>
      <w:pPr>
        <w:overflowPunct w:val="0"/>
        <w:topLinePunct/>
        <w:adjustRightInd w:val="0"/>
        <w:spacing w:line="44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2．杨树密度超过每亩400株，按面积补偿：一般树木为6元/㎡，</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果树为9元/㎡；</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3．对于珍稀树种、观赏树木（风景树、花木）以用材树种同径阶</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三倍标准补偿；</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4．葡萄树定值1-3年为17元/株，4年以上为55元/株；</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6．葡萄树幼苗为14元/棵，成果为55元/颗。</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水产养殖池塘，补偿标准为3300元/亩;苇塘、藕塘，补偿标准为3200元/亩。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18"/>
        <w:tblW w:w="5106" w:type="pct"/>
        <w:tblInd w:w="0" w:type="dxa"/>
        <w:tblLayout w:type="autofit"/>
        <w:tblCellMar>
          <w:top w:w="0" w:type="dxa"/>
          <w:left w:w="0" w:type="dxa"/>
          <w:bottom w:w="0" w:type="dxa"/>
          <w:right w:w="0" w:type="dxa"/>
        </w:tblCellMar>
      </w:tblPr>
      <w:tblGrid>
        <w:gridCol w:w="1434"/>
        <w:gridCol w:w="2655"/>
        <w:gridCol w:w="1358"/>
        <w:gridCol w:w="1852"/>
        <w:gridCol w:w="1880"/>
      </w:tblGrid>
      <w:tr>
        <w:tblPrEx>
          <w:tblCellMar>
            <w:top w:w="0" w:type="dxa"/>
            <w:left w:w="0" w:type="dxa"/>
            <w:bottom w:w="0" w:type="dxa"/>
            <w:right w:w="0" w:type="dxa"/>
          </w:tblCellMar>
        </w:tblPrEx>
        <w:trPr>
          <w:wBefore w:w="0" w:type="dxa"/>
          <w:wAfter w:w="0" w:type="dxa"/>
          <w:trHeight w:val="567" w:hRule="atLeast"/>
        </w:trPr>
        <w:tc>
          <w:tcPr>
            <w:tcW w:w="222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w:t>
            </w:r>
            <w:r>
              <w:rPr>
                <w:rStyle w:val="42"/>
                <w:rFonts w:hint="default" w:ascii="Times New Roman" w:hAnsi="Times New Roman" w:eastAsia="方正黑体_GBK" w:cs="Times New Roman"/>
                <w:sz w:val="28"/>
                <w:szCs w:val="28"/>
              </w:rPr>
              <w:t>称</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补偿标准（元）</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备注</w:t>
            </w:r>
          </w:p>
        </w:tc>
      </w:tr>
      <w:tr>
        <w:tblPrEx>
          <w:tblCellMar>
            <w:top w:w="0" w:type="dxa"/>
            <w:left w:w="0" w:type="dxa"/>
            <w:bottom w:w="0" w:type="dxa"/>
            <w:right w:w="0" w:type="dxa"/>
          </w:tblCellMar>
        </w:tblPrEx>
        <w:trPr>
          <w:wBefore w:w="0" w:type="dxa"/>
          <w:wAfter w:w="0" w:type="dxa"/>
          <w:trHeight w:val="567" w:hRule="atLeast"/>
        </w:trPr>
        <w:tc>
          <w:tcPr>
            <w:tcW w:w="222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280" w:firstLine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青　苗</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highlight w:val="lightGray"/>
              </w:rPr>
            </w:pPr>
          </w:p>
        </w:tc>
      </w:tr>
      <w:tr>
        <w:tblPrEx>
          <w:tblCellMar>
            <w:top w:w="0" w:type="dxa"/>
            <w:left w:w="0" w:type="dxa"/>
            <w:bottom w:w="0" w:type="dxa"/>
            <w:right w:w="0" w:type="dxa"/>
          </w:tblCellMar>
        </w:tblPrEx>
        <w:trPr>
          <w:wBefore w:w="0" w:type="dxa"/>
          <w:wAfter w:w="0" w:type="dxa"/>
          <w:trHeight w:val="567" w:hRule="atLeast"/>
        </w:trPr>
        <w:tc>
          <w:tcPr>
            <w:tcW w:w="78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8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一年生、露地种植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3300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8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一年生、大棚种植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瓜果类蔬菜</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露地栽培</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大棚栽培</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8500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wBefore w:w="0" w:type="dxa"/>
          <w:wAfter w:w="0" w:type="dxa"/>
          <w:trHeight w:val="567"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杨树</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5500</w:t>
            </w:r>
          </w:p>
        </w:tc>
        <w:tc>
          <w:tcPr>
            <w:tcW w:w="10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密度≥</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400株/亩</w:t>
            </w:r>
          </w:p>
        </w:tc>
      </w:tr>
      <w:tr>
        <w:tblPrEx>
          <w:tblCellMar>
            <w:top w:w="0" w:type="dxa"/>
            <w:left w:w="0" w:type="dxa"/>
            <w:bottom w:w="0" w:type="dxa"/>
            <w:right w:w="0" w:type="dxa"/>
          </w:tblCellMar>
        </w:tblPrEx>
        <w:trPr>
          <w:wBefore w:w="0" w:type="dxa"/>
          <w:wAfter w:w="0" w:type="dxa"/>
          <w:trHeight w:val="567"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其他树种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9000</w:t>
            </w:r>
          </w:p>
        </w:tc>
        <w:tc>
          <w:tcPr>
            <w:tcW w:w="10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tabs>
          <w:tab w:val="left" w:pos="5983"/>
        </w:tabs>
        <w:overflowPunct w:val="0"/>
        <w:topLinePunct/>
        <w:adjustRightInd w:val="0"/>
        <w:spacing w:line="600" w:lineRule="exact"/>
        <w:ind w:firstLine="640" w:firstLineChars="200"/>
        <w:rPr>
          <w:rFonts w:ascii="Times New Roman" w:hAnsi="Times New Roman" w:eastAsia="方正仿宋_GBK"/>
          <w:sz w:val="32"/>
          <w:szCs w:val="32"/>
        </w:rPr>
        <w:sectPr>
          <w:headerReference r:id="rId6" w:type="default"/>
          <w:pgSz w:w="11906" w:h="16838"/>
          <w:pgMar w:top="1985" w:right="1474" w:bottom="1134" w:left="1474" w:header="851" w:footer="1021" w:gutter="0"/>
          <w:cols w:space="720" w:num="1"/>
          <w:docGrid w:linePitch="312" w:charSpace="0"/>
        </w:sectPr>
      </w:pPr>
    </w:p>
    <w:p>
      <w:pPr>
        <w:overflowPunct w:val="0"/>
        <w:topLinePunct/>
        <w:adjustRightInd w:val="0"/>
        <w:spacing w:line="600" w:lineRule="exact"/>
        <w:rPr>
          <w:rFonts w:ascii="Times New Roman" w:hAnsi="Times New Roman" w:eastAsia="方正黑体_GBK"/>
          <w:sz w:val="32"/>
          <w:szCs w:val="32"/>
        </w:rPr>
      </w:pPr>
      <w:r>
        <w:rPr>
          <w:rFonts w:ascii="Times New Roman" w:hAnsi="Times New Roman" w:eastAsia="方正黑体_GBK"/>
          <w:sz w:val="32"/>
          <w:szCs w:val="32"/>
        </w:rPr>
        <w:t>附件5</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小标宋_GBK"/>
          <w:b/>
          <w:sz w:val="44"/>
          <w:szCs w:val="44"/>
        </w:rPr>
      </w:pPr>
      <w:r>
        <w:rPr>
          <w:rFonts w:ascii="Times New Roman" w:hAnsi="Times New Roman" w:eastAsia="方正小标宋_GBK"/>
          <w:kern w:val="0"/>
          <w:sz w:val="44"/>
          <w:szCs w:val="44"/>
        </w:rPr>
        <w:t>泗县被征土地青苗及地上附着物补偿标准</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p>
    <w:p>
      <w:pPr>
        <w:overflowPunct w:val="0"/>
        <w:topLinePunct/>
        <w:adjustRightIn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一、居住房屋补偿标准</w:t>
      </w:r>
    </w:p>
    <w:p>
      <w:pPr>
        <w:overflowPunct w:val="0"/>
        <w:topLinePunct/>
        <w:adjustRightInd w:val="0"/>
        <w:spacing w:line="600" w:lineRule="exact"/>
        <w:ind w:firstLine="640" w:firstLineChars="200"/>
        <w:outlineLvl w:val="0"/>
        <w:rPr>
          <w:rFonts w:ascii="Times New Roman" w:hAnsi="Times New Roman" w:eastAsia="方正楷体_GBK"/>
          <w:sz w:val="32"/>
          <w:szCs w:val="32"/>
        </w:rPr>
      </w:pPr>
      <w:r>
        <w:rPr>
          <w:rFonts w:ascii="Times New Roman" w:hAnsi="Times New Roman" w:eastAsia="方正楷体_GBK"/>
          <w:sz w:val="32"/>
          <w:szCs w:val="32"/>
        </w:rPr>
        <w:t>（一）拆迁房屋重置价格参照表。</w:t>
      </w:r>
    </w:p>
    <w:tbl>
      <w:tblPr>
        <w:tblStyle w:val="18"/>
        <w:tblW w:w="8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1"/>
        <w:gridCol w:w="709"/>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类别</w:t>
            </w:r>
          </w:p>
        </w:tc>
        <w:tc>
          <w:tcPr>
            <w:tcW w:w="709"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等级</w:t>
            </w:r>
          </w:p>
        </w:tc>
        <w:tc>
          <w:tcPr>
            <w:tcW w:w="6378" w:type="dxa"/>
            <w:noWrap w:val="0"/>
            <w:vAlign w:val="center"/>
          </w:tcPr>
          <w:p>
            <w:pPr>
              <w:overflowPunct w:val="0"/>
              <w:topLinePunct/>
              <w:adjustRightInd w:val="0"/>
              <w:spacing w:line="380" w:lineRule="exact"/>
              <w:rPr>
                <w:rFonts w:ascii="Times New Roman" w:hAnsi="Times New Roman" w:eastAsia="方正黑体_GBK"/>
                <w:sz w:val="28"/>
                <w:szCs w:val="28"/>
              </w:rPr>
            </w:pPr>
            <w:r>
              <w:rPr>
                <w:rFonts w:ascii="Times New Roman" w:hAnsi="Times New Roman" w:eastAsia="方正黑体_GBK"/>
                <w:sz w:val="28"/>
                <w:szCs w:val="28"/>
              </w:rPr>
              <w:t>结构设备</w:t>
            </w:r>
          </w:p>
        </w:tc>
        <w:tc>
          <w:tcPr>
            <w:tcW w:w="993"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重置价</w:t>
            </w:r>
          </w:p>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1480" w:type="dxa"/>
            <w:gridSpan w:val="2"/>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框架</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梁柱承重，现浇屋面，铝塑门窗，高级粉刷，水电卫齐全。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砖混</w:t>
            </w: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一</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240砖墙，钢筋混凝土梁承重，层层设置圈梁和构造柱，现浇屋面，铝塑门窗，高级粉刷，水电卫齐全.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二</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240砖墙承重，设置圈梁或构造柱，多孔板屋面，标准木门窗一玻一纱，中级粉刷，水电卫齐全。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三</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240或180砖墙或土墙，无圈梁或构造柱，预制水泥桁条，简浇屋面，非标准门窗，普通粉刷，水电齐全。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砖木</w:t>
            </w: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一</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240砖墙，瓦屋面，木桁条，标准门窗，混凝土地坪，水电卫齐全，外墙粉刷</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二</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240或180砖墙，瓦屋面，木桁条或预制桁条，标准门窗，混凝土地坪，水电齐全，清水墙。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三</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240或180砖墙或土墙，简易屋面，非标准门窗，水电齐全。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1480" w:type="dxa"/>
            <w:gridSpan w:val="2"/>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其它结构</w:t>
            </w:r>
          </w:p>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房屋</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低于砖木三等以下的标准房屋。</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厂房</w:t>
            </w:r>
          </w:p>
        </w:tc>
        <w:tc>
          <w:tcPr>
            <w:tcW w:w="709" w:type="dxa"/>
            <w:vMerge w:val="restart"/>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砖混结构</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砖混结构，净高4m、空心板顶、砖墙。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仓库</w:t>
            </w:r>
          </w:p>
        </w:tc>
        <w:tc>
          <w:tcPr>
            <w:tcW w:w="709" w:type="dxa"/>
            <w:vMerge w:val="continue"/>
            <w:noWrap w:val="0"/>
            <w:vAlign w:val="center"/>
          </w:tcPr>
          <w:p>
            <w:pPr>
              <w:overflowPunct w:val="0"/>
              <w:topLinePunct/>
              <w:adjustRightInd w:val="0"/>
              <w:spacing w:line="380" w:lineRule="exact"/>
              <w:jc w:val="center"/>
              <w:rPr>
                <w:rFonts w:ascii="Times New Roman" w:hAnsi="Times New Roman" w:eastAsia="方正仿宋_GBK"/>
                <w:sz w:val="28"/>
                <w:szCs w:val="28"/>
              </w:rPr>
            </w:pP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砖混结构，净高4m、石棉瓦顶、砖墙。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1480" w:type="dxa"/>
            <w:gridSpan w:val="2"/>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房基</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有砖石基础，有钢筋砼圈梁。</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rPr>
        <w:tc>
          <w:tcPr>
            <w:tcW w:w="1480" w:type="dxa"/>
            <w:gridSpan w:val="2"/>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有砖石基础，无圈梁。</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80</w:t>
            </w:r>
          </w:p>
        </w:tc>
      </w:tr>
    </w:tbl>
    <w:p>
      <w:pPr>
        <w:overflowPunct w:val="0"/>
        <w:topLinePunct/>
        <w:adjustRightInd w:val="0"/>
        <w:spacing w:line="600" w:lineRule="exact"/>
        <w:ind w:firstLine="640" w:firstLineChars="200"/>
        <w:outlineLvl w:val="0"/>
        <w:rPr>
          <w:rFonts w:ascii="Times New Roman" w:hAnsi="Times New Roman" w:eastAsia="方正楷体_GBK"/>
          <w:sz w:val="32"/>
          <w:szCs w:val="32"/>
        </w:rPr>
      </w:pPr>
      <w:r>
        <w:rPr>
          <w:rFonts w:ascii="Times New Roman" w:hAnsi="Times New Roman" w:eastAsia="方正楷体_GBK"/>
          <w:sz w:val="32"/>
          <w:szCs w:val="32"/>
        </w:rPr>
        <w:br w:type="page"/>
      </w:r>
      <w:r>
        <w:rPr>
          <w:rFonts w:ascii="Times New Roman" w:hAnsi="Times New Roman" w:eastAsia="方正楷体_GBK"/>
          <w:sz w:val="32"/>
          <w:szCs w:val="32"/>
        </w:rPr>
        <w:t>（二）房屋拆迁补助补偿标准。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1.搬迁补助费：按被拆迁房屋建筑面积6元/平方米。</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2.临时安置补助费：按被拆迁房屋建筑面积5元/平方米·月。</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3.非住宅房屋停产、停业补偿费：</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kern w:val="0"/>
          <w:sz w:val="32"/>
          <w:szCs w:val="32"/>
        </w:rPr>
        <w:t>实行产权调换的</w:t>
      </w:r>
      <w:r>
        <w:rPr>
          <w:rFonts w:ascii="Times New Roman" w:hAnsi="Times New Roman" w:eastAsia="方正仿宋_GBK"/>
          <w:sz w:val="32"/>
          <w:szCs w:val="32"/>
        </w:rPr>
        <w:t>商业用房：按被拆迁房屋建筑面积13-35元/平方米·月；</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kern w:val="0"/>
          <w:sz w:val="32"/>
          <w:szCs w:val="32"/>
        </w:rPr>
        <w:t>实行产权调换的</w:t>
      </w:r>
      <w:r>
        <w:rPr>
          <w:rFonts w:ascii="Times New Roman" w:hAnsi="Times New Roman" w:eastAsia="方正仿宋_GBK"/>
          <w:sz w:val="32"/>
          <w:szCs w:val="32"/>
        </w:rPr>
        <w:t>工业、仓储用房：按被拆迁房屋建筑面积12元/平方米·月。</w:t>
      </w:r>
    </w:p>
    <w:p>
      <w:pPr>
        <w:overflowPunct w:val="0"/>
        <w:topLinePunct/>
        <w:adjustRightInd w:val="0"/>
        <w:spacing w:line="600" w:lineRule="exact"/>
        <w:ind w:firstLine="640" w:firstLineChars="200"/>
        <w:outlineLvl w:val="0"/>
        <w:rPr>
          <w:rFonts w:ascii="Times New Roman" w:hAnsi="Times New Roman" w:eastAsia="方正楷体_GBK"/>
          <w:b/>
          <w:sz w:val="32"/>
          <w:szCs w:val="32"/>
        </w:rPr>
      </w:pPr>
      <w:r>
        <w:rPr>
          <w:rFonts w:ascii="Times New Roman" w:hAnsi="Times New Roman" w:eastAsia="方正楷体_GBK"/>
          <w:sz w:val="32"/>
          <w:szCs w:val="32"/>
        </w:rPr>
        <w:t>（三）各类附属物补偿价格参照表。</w:t>
      </w:r>
    </w:p>
    <w:tbl>
      <w:tblPr>
        <w:tblStyle w:val="18"/>
        <w:tblW w:w="48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482"/>
        <w:gridCol w:w="482"/>
        <w:gridCol w:w="1978"/>
        <w:gridCol w:w="920"/>
        <w:gridCol w:w="1845"/>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blHeader/>
          <w:jc w:val="center"/>
        </w:trPr>
        <w:tc>
          <w:tcPr>
            <w:tcW w:w="2374" w:type="pct"/>
            <w:gridSpan w:val="4"/>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55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11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95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85"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空　调</w:t>
            </w: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柜式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挂式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窗式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85"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热水器</w:t>
            </w: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太阳能</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电能</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水龙头</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抽油烟机</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浴　霸</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电　话</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部</w:t>
            </w:r>
          </w:p>
        </w:tc>
        <w:tc>
          <w:tcPr>
            <w:tcW w:w="1117"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按相关部门</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资费标准执行</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有限电视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宽　带</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水　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电　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三相电户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管道燃气户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室外</w:t>
            </w:r>
          </w:p>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地坪</w:t>
            </w: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水泥</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w:t>
            </w:r>
          </w:p>
        </w:tc>
        <w:tc>
          <w:tcPr>
            <w:tcW w:w="95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院墙</w:t>
            </w: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土砖土石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院墙</w:t>
            </w:r>
          </w:p>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大门</w:t>
            </w:r>
          </w:p>
        </w:tc>
        <w:tc>
          <w:tcPr>
            <w:tcW w:w="1197" w:type="pct"/>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木制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单扇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210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380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铁制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单扇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restart"/>
            <w:tcBorders>
              <w:bottom w:val="single" w:color="auto" w:sz="4" w:space="0"/>
            </w:tcBorders>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其它</w:t>
            </w:r>
          </w:p>
        </w:tc>
        <w:tc>
          <w:tcPr>
            <w:tcW w:w="1781" w:type="pct"/>
            <w:gridSpan w:val="3"/>
            <w:tcBorders>
              <w:bottom w:val="single" w:color="auto" w:sz="4" w:space="0"/>
            </w:tcBorders>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门楼（简易）</w:t>
            </w:r>
          </w:p>
        </w:tc>
        <w:tc>
          <w:tcPr>
            <w:tcW w:w="557" w:type="pct"/>
            <w:tcBorders>
              <w:bottom w:val="single" w:color="auto" w:sz="4" w:space="0"/>
            </w:tcBorders>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tcBorders>
              <w:bottom w:val="single" w:color="auto" w:sz="4" w:space="0"/>
            </w:tcBorders>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520-1040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门楼（浇筑）</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1500-2500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水池</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沼气池（水泥）</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手压水井</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遮阳棚</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85-128</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金属栏杆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66</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不锈钢栏杆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木质栏杆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下水道</w:t>
            </w:r>
          </w:p>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（砖砌深0.6米以上）</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广告牌、灯箱</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厨房不可移动橱柜</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150-300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简易棚（无围护栏）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40-60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640" w:firstLineChars="200"/>
        <w:outlineLvl w:val="0"/>
        <w:rPr>
          <w:rFonts w:ascii="Times New Roman" w:hAnsi="Times New Roman" w:eastAsia="方正楷体_GBK"/>
          <w:b/>
          <w:sz w:val="32"/>
          <w:szCs w:val="32"/>
        </w:rPr>
      </w:pPr>
      <w:r>
        <w:rPr>
          <w:rFonts w:ascii="Times New Roman" w:hAnsi="Times New Roman" w:eastAsia="方正楷体_GBK"/>
          <w:sz w:val="32"/>
          <w:szCs w:val="32"/>
        </w:rPr>
        <w:t>（四）各类装潢补偿价格参照表（固定并无法移动）。</w:t>
      </w:r>
    </w:p>
    <w:tbl>
      <w:tblPr>
        <w:tblStyle w:val="18"/>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2496"/>
        <w:gridCol w:w="921"/>
        <w:gridCol w:w="146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blHeader/>
          <w:jc w:val="center"/>
        </w:trPr>
        <w:tc>
          <w:tcPr>
            <w:tcW w:w="2293"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55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886"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126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室内地坪</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水磨石地坪</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各类水磨石地坪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地板砖</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55-85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各类地板砖地面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花岗岩</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66-95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大理石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78</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木地板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89-125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各类木地板地面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门　窗</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门窗护角</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37</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包门（双面）</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双层窗</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126-168</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不属于房屋本身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防盗门</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樘</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610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防盗窗</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50-60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墙　面</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墙面砖</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45-70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含外墙面砖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墙纸、墙布、喷塑</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12-17</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乳胶漆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软包</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木墙裙</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37-70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无法移动固定墙柜</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105-220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双面增加50%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吊　顶</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扣板、石膏板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20-40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纤维板、灰板条</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16-25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三合板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集成吊顶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墙纸天棚</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间</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蹲　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坐　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浴　缸</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脸　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菜　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3" w:hRule="atLeast"/>
          <w:jc w:val="center"/>
        </w:trPr>
        <w:tc>
          <w:tcPr>
            <w:tcW w:w="5000" w:type="pct"/>
            <w:gridSpan w:val="5"/>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注：1．具体补偿价格根据装潢使用年限折旧计算；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2．本表未涉及的装潢，参照表格执行；不能参照的，另行商定。</w:t>
            </w: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（五）房屋装潢折旧参照标准。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1．商业用房及其他非住宅装潢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after="120" w:afterLines="50" w:line="600" w:lineRule="exact"/>
        <w:ind w:firstLine="640" w:firstLineChars="200"/>
        <w:rPr>
          <w:rFonts w:ascii="Times New Roman" w:hAnsi="Times New Roman" w:eastAsia="方正黑体_GBK"/>
          <w:b/>
          <w:sz w:val="32"/>
          <w:szCs w:val="32"/>
        </w:rPr>
      </w:pPr>
      <w:r>
        <w:rPr>
          <w:rFonts w:ascii="Times New Roman" w:hAnsi="Times New Roman" w:eastAsia="方正黑体_GBK"/>
          <w:sz w:val="32"/>
          <w:szCs w:val="32"/>
        </w:rPr>
        <w:t>二、非居住房屋及附属物补偿标准</w:t>
      </w:r>
    </w:p>
    <w:tbl>
      <w:tblPr>
        <w:tblStyle w:val="18"/>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0"/>
        <w:gridCol w:w="1027"/>
        <w:gridCol w:w="871"/>
        <w:gridCol w:w="2286"/>
        <w:gridCol w:w="772"/>
        <w:gridCol w:w="144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tblHeader/>
          <w:jc w:val="center"/>
        </w:trPr>
        <w:tc>
          <w:tcPr>
            <w:tcW w:w="411"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621"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909"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46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87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71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非居住房屋</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标准猪、鸡、鸭舍</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330-440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简易猪、牛、羊、鸡、鸭舍</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90-224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200-264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厕所</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220-330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简易厕所</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温室、</w:t>
            </w:r>
          </w:p>
          <w:p>
            <w:pPr>
              <w:overflowPunct w:val="0"/>
              <w:topLinePunct/>
              <w:adjustRightInd w:val="0"/>
              <w:spacing w:line="400" w:lineRule="exact"/>
              <w:ind w:firstLine="56" w:firstLineChars="20"/>
              <w:rPr>
                <w:rFonts w:ascii="Times New Roman" w:hAnsi="Times New Roman" w:eastAsia="方正楷体_GBK"/>
                <w:sz w:val="28"/>
                <w:szCs w:val="28"/>
              </w:rPr>
            </w:pPr>
            <w:r>
              <w:rPr>
                <w:rFonts w:ascii="Times New Roman" w:hAnsi="Times New Roman" w:eastAsia="方正楷体_GBK"/>
                <w:sz w:val="28"/>
                <w:szCs w:val="28"/>
              </w:rPr>
              <w:t>大棚</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普通温室</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90-115</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钢骨架（复合材料骨架）塑料大棚</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30-60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普通塑料大棚</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隔热层</w:t>
            </w:r>
          </w:p>
        </w:tc>
        <w:tc>
          <w:tcPr>
            <w:tcW w:w="527" w:type="pct"/>
            <w:vMerge w:val="restar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砖混</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结构</w:t>
            </w: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1米以下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continue"/>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1米-2.2米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restar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砖木</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结构</w:t>
            </w: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1米以下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continue"/>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1米-2.2米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260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简易结构</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围　墙</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围墙（水泥抹灰砖墙）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围墙（清水砖墙）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56</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土坯墙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场　地</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泥结碎石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20-22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素混凝土</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39-51</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砖地面（立砖）</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22-34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砖地面（平砖）</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道　路</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泥结碎石道路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24-36</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素混凝土道路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70-100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煤矸石道路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沥青道路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65-80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坟　墓</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单棺</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座</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950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双棺</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座</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（一）征收土地过程中，对非居住房屋以及附属物按重置价格予以补偿。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（二）非居住房屋及附属物的补偿标准根据下列建筑物的结构标准进行计算。</w:t>
      </w:r>
    </w:p>
    <w:p>
      <w:p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1．标准猪、鸡、鸭舍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平房，檐高2.2米左右（檐高浮动范围为土±20厘米），墙体为二四墙，清水外墙，水泥抹灰内墙，室内水泥地面，木苇顶，挂瓦屋顶，木门窗，无上下圈梁。圈栏墙为单砖（一二墙），高1.0米左右，水泥内外壁，简易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简易鸡房、鸭房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钢管支架，无维护结构，石棉瓦顶，高3米，水泥地面。</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普通塑料大棚：拱形，高约2米，内部竹竿骨架，覆盖材料为单层无滴塑料薄膜。</w:t>
      </w:r>
    </w:p>
    <w:p>
      <w:pPr>
        <w:numPr>
          <w:ilvl w:val="0"/>
          <w:numId w:val="5"/>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5"/>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包括：泥结泥结碎石道路、素混凝土道路（200毫米）、煤研石道路（100毫米）、沥青道路（1层灰土，40－60毫米沥青灌入式砼，10－20毫米沥青面层）。</w:t>
      </w:r>
    </w:p>
    <w:p>
      <w:pPr>
        <w:overflowPunct w:val="0"/>
        <w:topLinePunct/>
        <w:adjustRightInd w:val="0"/>
        <w:spacing w:after="120" w:afterLines="50" w:line="600" w:lineRule="exact"/>
        <w:ind w:firstLine="640" w:firstLineChars="200"/>
        <w:rPr>
          <w:rFonts w:ascii="Times New Roman" w:hAnsi="Times New Roman" w:eastAsia="方正黑体_GBK"/>
          <w:b/>
          <w:sz w:val="32"/>
          <w:szCs w:val="32"/>
        </w:rPr>
      </w:pPr>
      <w:r>
        <w:rPr>
          <w:rFonts w:ascii="Times New Roman" w:hAnsi="Times New Roman" w:eastAsia="方正黑体_GBK"/>
          <w:sz w:val="32"/>
          <w:szCs w:val="32"/>
        </w:rPr>
        <w:t>三、农田水利、电力设施补偿标准</w:t>
      </w:r>
    </w:p>
    <w:tbl>
      <w:tblPr>
        <w:tblStyle w:val="18"/>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9"/>
        <w:gridCol w:w="673"/>
        <w:gridCol w:w="1711"/>
        <w:gridCol w:w="3479"/>
        <w:gridCol w:w="72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blHeader/>
        </w:trPr>
        <w:tc>
          <w:tcPr>
            <w:tcW w:w="40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40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029"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209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规　　格</w:t>
            </w:r>
          </w:p>
        </w:tc>
        <w:tc>
          <w:tcPr>
            <w:tcW w:w="43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63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758"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明沟</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浆砌石块</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明沟横截面为梯形，沟渠上口宽度为2米，深1.5米，沟底边宽1米，沿明沟内表面砌20厘米厚片石。</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685"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砖砌明沟</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明沟横截面为梯形，沟渠上口宽度为2米，深1米，沟底边宽1米，沿明沟内表面砌24砖、抹水泥砂浆。</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702" w:hRule="atLeast"/>
        </w:trPr>
        <w:tc>
          <w:tcPr>
            <w:tcW w:w="40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05" w:type="pc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井</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机井（深≥30）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井</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机井（深&lt;30）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砖井（Φ≥30）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砖井（Φ&lt;30）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小口井</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（深≥15）</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小口井</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（深&lt;15）</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手拉井</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涵洞</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盖板涵跨径</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（1.2米以下）</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无涵管，底面铺0.5米厚毛石，毛石面上做0.2米厚混凝土，两侧砌0.4米厚毛石墙。</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拱涵跨径</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（1.2米以下）</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涵管直径1.2米，下铺0.5米厚毛石，毛石面上做0.2米厚混凝土，两侧砌0.4米厚毛石墙。</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315-390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涵管</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直径≥1米</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直径&lt;1米</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电杆</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木杆、水泥杆</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水泥行条</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毛竹</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根</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line="600" w:lineRule="exact"/>
        <w:ind w:firstLine="640" w:firstLineChars="200"/>
        <w:rPr>
          <w:rFonts w:ascii="Times New Roman" w:hAnsi="Times New Roman" w:eastAsia="方正黑体_GBK"/>
          <w:b/>
          <w:sz w:val="32"/>
          <w:szCs w:val="32"/>
        </w:rPr>
      </w:pPr>
      <w:r>
        <w:rPr>
          <w:rFonts w:ascii="Times New Roman" w:hAnsi="Times New Roman" w:eastAsia="方正黑体_GBK"/>
          <w:color w:val="000000"/>
          <w:sz w:val="32"/>
          <w:szCs w:val="32"/>
        </w:rPr>
        <w:t>四、树木移栽补偿标准</w:t>
      </w:r>
    </w:p>
    <w:tbl>
      <w:tblPr>
        <w:tblStyle w:val="18"/>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448"/>
        <w:gridCol w:w="1448"/>
        <w:gridCol w:w="919"/>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胸径</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（cm）</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一般树木补偿标准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绿化树木补偿标准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c>
          <w:tcPr>
            <w:tcW w:w="1989"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果树树木补偿标准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Φ&lt;2.0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2.5</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556"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按产果期</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计算</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产前期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2.0≤Φ&lt;5.0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5.0≤Φ&lt;10.0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初产期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10.0≤Φ&lt;15.0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110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15.0≤Φ&lt;20.0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38</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180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盛产期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20.0≤Φ&lt;25.0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49</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25.0≤Φ&lt;30.0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280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衰产期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30以上</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320</w:t>
            </w:r>
          </w:p>
        </w:tc>
        <w:tc>
          <w:tcPr>
            <w:tcW w:w="556"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240" w:lineRule="exact"/>
        <w:rPr>
          <w:rFonts w:ascii="Times New Roman" w:hAnsi="Times New Roman" w:eastAsia="方正仿宋_GBK"/>
          <w:sz w:val="28"/>
          <w:szCs w:val="28"/>
        </w:rPr>
      </w:pPr>
    </w:p>
    <w:p>
      <w:pPr>
        <w:overflowPunct w:val="0"/>
        <w:topLinePunct/>
        <w:adjustRightInd w:val="0"/>
        <w:spacing w:line="48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移植、砍伐树木归原主；</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2．一般树木密度超过每平方米5棵，绿化树木密度超过每平方3棵，</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果树密度超过每平方2棵按面积补偿：一般树木12元/平方米，绿</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化树木18元/平方米，果树35元/平方米；</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3．按挂果期划分为挂果产前期、挂果初产期、挂果盛产期及挂果衰</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产期四个等级：挂果产前期按照18元/株进行补偿；初产期和衰产</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期按照产前期3－4倍补偿；盛产期按照产前期的6－8倍补偿；</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4．风景树、花木、桑园、竹园等比照果树标准赔偿；</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5．对于珍稀树种、观赏树木5cm&lt;Φ≤13cm以果树两倍标准补偿，</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Φ&gt;13cm以果树三倍标准补偿。</w:t>
      </w:r>
    </w:p>
    <w:p>
      <w:pPr>
        <w:overflowPunct w:val="0"/>
        <w:topLinePunct/>
        <w:adjustRightInd w:val="0"/>
        <w:spacing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tbl>
      <w:tblPr>
        <w:tblStyle w:val="18"/>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1887"/>
        <w:gridCol w:w="1887"/>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113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13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补偿标准</w:t>
            </w:r>
          </w:p>
        </w:tc>
        <w:tc>
          <w:tcPr>
            <w:tcW w:w="113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水产养殖池塘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藕　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2750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苇　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1750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18"/>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580"/>
        <w:gridCol w:w="1186"/>
        <w:gridCol w:w="1581"/>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5"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71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95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补偿标准</w:t>
            </w:r>
          </w:p>
        </w:tc>
        <w:tc>
          <w:tcPr>
            <w:tcW w:w="158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青　苗</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1100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苗　圃</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株树密度≥400株/亩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93" w:type="pct"/>
            <w:vMerge w:val="restart"/>
            <w:noWrap w:val="0"/>
            <w:vAlign w:val="center"/>
          </w:tcPr>
          <w:p>
            <w:pPr>
              <w:overflowPunct w:val="0"/>
              <w:topLinePunct/>
              <w:adjustRightInd w:val="0"/>
              <w:spacing w:line="400" w:lineRule="exact"/>
              <w:rPr>
                <w:rFonts w:ascii="Times New Roman" w:hAnsi="Times New Roman" w:eastAsia="方正楷体_GBK"/>
                <w:sz w:val="28"/>
                <w:szCs w:val="28"/>
              </w:rPr>
            </w:pPr>
            <w:r>
              <w:rPr>
                <w:rFonts w:ascii="Times New Roman" w:hAnsi="Times New Roman" w:eastAsia="方正楷体_GBK"/>
                <w:sz w:val="28"/>
                <w:szCs w:val="28"/>
              </w:rPr>
              <w:t>中药材</w:t>
            </w: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多年生</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9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一年生</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9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大棚种植</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菜　地</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注：青苗补偿按农作物产值标准确定。</w:t>
      </w:r>
    </w:p>
    <w:p>
      <w:pPr>
        <w:overflowPunct w:val="0"/>
        <w:topLinePunct/>
        <w:adjustRightInd w:val="0"/>
        <w:spacing w:line="600" w:lineRule="exact"/>
        <w:ind w:firstLine="560" w:firstLineChars="200"/>
        <w:outlineLvl w:val="0"/>
        <w:rPr>
          <w:rFonts w:ascii="Times New Roman" w:hAnsi="Times New Roman" w:eastAsia="方正仿宋_GBK"/>
          <w:sz w:val="28"/>
          <w:szCs w:val="28"/>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1" w:usb1="080E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15" w:rightChars="15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63</w:t>
    </w:r>
    <w:r>
      <w:rPr>
        <w:rFonts w:ascii="Times New Roman" w:hAnsi="Times New Roman"/>
        <w:sz w:val="28"/>
        <w:szCs w:val="28"/>
      </w:rPr>
      <w:fldChar w:fldCharType="end"/>
    </w:r>
    <w:r>
      <w:rPr>
        <w:rFonts w:hint="eastAsia" w:ascii="Times New Roman" w:hAnsi="Times New Roman"/>
        <w:sz w:val="28"/>
        <w:szCs w:val="28"/>
      </w:rPr>
      <w:t>－</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rPr>
                              <w:rFonts w:ascii="方正仿宋_GBK" w:eastAsia="方正仿宋_GBK"/>
                              <w:sz w:val="24"/>
                              <w:szCs w:val="24"/>
                            </w:rPr>
                          </w:pPr>
                          <w:r>
                            <w:rPr>
                              <w:rFonts w:hint="eastAsia" w:ascii="方正仿宋_GBK" w:eastAsia="方正仿宋_GBK"/>
                              <w:sz w:val="24"/>
                              <w:szCs w:val="24"/>
                            </w:rPr>
                            <w:t>-</w:t>
                          </w: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rPr>
                            <w:t>43</w:t>
                          </w:r>
                          <w:r>
                            <w:rPr>
                              <w:rFonts w:hint="eastAsia" w:ascii="方正仿宋_GBK" w:eastAsia="方正仿宋_GBK"/>
                              <w:sz w:val="24"/>
                              <w:szCs w:val="24"/>
                            </w:rPr>
                            <w:fldChar w:fldCharType="end"/>
                          </w:r>
                          <w:r>
                            <w:rPr>
                              <w:rFonts w:hint="eastAsia" w:ascii="方正仿宋_GBK" w:eastAsia="方正仿宋_GBK"/>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0"/>
                      <w:rPr>
                        <w:rFonts w:ascii="方正仿宋_GBK" w:eastAsia="方正仿宋_GBK"/>
                        <w:sz w:val="24"/>
                        <w:szCs w:val="24"/>
                      </w:rPr>
                    </w:pPr>
                    <w:r>
                      <w:rPr>
                        <w:rFonts w:hint="eastAsia" w:ascii="方正仿宋_GBK" w:eastAsia="方正仿宋_GBK"/>
                        <w:sz w:val="24"/>
                        <w:szCs w:val="24"/>
                      </w:rPr>
                      <w:t>-</w:t>
                    </w:r>
                    <w:r>
                      <w:rPr>
                        <w:rFonts w:hint="eastAsia" w:ascii="方正仿宋_GBK" w:eastAsia="方正仿宋_GBK"/>
                        <w:sz w:val="24"/>
                        <w:szCs w:val="24"/>
                      </w:rPr>
                      <w:fldChar w:fldCharType="begin"/>
                    </w:r>
                    <w:r>
                      <w:rPr>
                        <w:rFonts w:hint="eastAsia" w:ascii="方正仿宋_GBK" w:eastAsia="方正仿宋_GBK"/>
                        <w:sz w:val="24"/>
                        <w:szCs w:val="24"/>
                      </w:rPr>
                      <w:instrText xml:space="preserve"> PAGE  \* MERGEFORMAT </w:instrText>
                    </w:r>
                    <w:r>
                      <w:rPr>
                        <w:rFonts w:hint="eastAsia" w:ascii="方正仿宋_GBK" w:eastAsia="方正仿宋_GBK"/>
                        <w:sz w:val="24"/>
                        <w:szCs w:val="24"/>
                      </w:rPr>
                      <w:fldChar w:fldCharType="separate"/>
                    </w:r>
                    <w:r>
                      <w:rPr>
                        <w:rFonts w:ascii="方正仿宋_GBK" w:eastAsia="方正仿宋_GBK"/>
                        <w:sz w:val="24"/>
                        <w:szCs w:val="24"/>
                      </w:rPr>
                      <w:t>43</w:t>
                    </w:r>
                    <w:r>
                      <w:rPr>
                        <w:rFonts w:hint="eastAsia" w:ascii="方正仿宋_GBK" w:eastAsia="方正仿宋_GBK"/>
                        <w:sz w:val="24"/>
                        <w:szCs w:val="24"/>
                      </w:rPr>
                      <w:fldChar w:fldCharType="end"/>
                    </w:r>
                    <w:r>
                      <w:rPr>
                        <w:rFonts w:hint="eastAsia" w:ascii="方正仿宋_GBK" w:eastAsia="方正仿宋_GBK"/>
                        <w:sz w:val="24"/>
                        <w:szCs w:val="24"/>
                      </w:rPr>
                      <w:t>-</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88925" cy="306705"/>
              <wp:effectExtent l="0" t="0" r="0" b="0"/>
              <wp:wrapNone/>
              <wp:docPr id="5" name="文本框3"/>
              <wp:cNvGraphicFramePr/>
              <a:graphic xmlns:a="http://schemas.openxmlformats.org/drawingml/2006/main">
                <a:graphicData uri="http://schemas.microsoft.com/office/word/2010/wordprocessingShape">
                  <wps:wsp>
                    <wps:cNvSpPr/>
                    <wps:spPr>
                      <a:xfrm>
                        <a:off x="0" y="0"/>
                        <a:ext cx="288925" cy="306705"/>
                      </a:xfrm>
                      <a:prstGeom prst="rect">
                        <a:avLst/>
                      </a:prstGeom>
                      <a:noFill/>
                      <a:ln>
                        <a:noFill/>
                      </a:ln>
                      <a:effectLst/>
                    </wps:spPr>
                    <wps:txbx>
                      <w:txbxContent>
                        <w:p>
                          <w:pPr>
                            <w:snapToGrid w:val="0"/>
                            <w:rPr>
                              <w:sz w:val="18"/>
                            </w:rPr>
                          </w:pPr>
                        </w:p>
                      </w:txbxContent>
                    </wps:txbx>
                    <wps:bodyPr wrap="none" lIns="0" tIns="0" rIns="0" bIns="0" upright="0">
                      <a:spAutoFit/>
                    </wps:bodyPr>
                  </wps:wsp>
                </a:graphicData>
              </a:graphic>
            </wp:anchor>
          </w:drawing>
        </mc:Choice>
        <mc:Fallback>
          <w:pict>
            <v:rect id="文本框3" o:spid="_x0000_s1026" o:spt="1" style="position:absolute;left:0pt;margin-top:0pt;height:24.15pt;width:22.75pt;mso-position-horizontal:outside;mso-position-horizontal-relative:margin;mso-wrap-style:none;z-index:251663360;mso-width-relative:page;mso-height-relative:page;" filled="f" stroked="f" coordsize="21600,21600" o:gfxdata="UEsDBAoAAAAAAIdO4kAAAAAAAAAAAAAAAAAEAAAAZHJzL1BLAwQUAAAACACHTuJAk1C5H9IAAAAD&#10;AQAADwAAAGRycy9kb3ducmV2LnhtbE2PzU7DMBCE70i8g7VI3KjdQlGUxukBqRIgLk15ADfe/Kj2&#10;OrLdprw9Cxe47Gg1q5lvq+3VO3HBmMZAGpYLBQKpDXakXsPnYfdQgEjZkDUuEGr4wgTb+vamMqUN&#10;M+3x0uRecAil0mgYcp5KKVM7oDdpESYk9roQvcm8xl7aaGYO906ulHqW3ozEDYOZ8GXA9tScvQZ5&#10;aHZz0biowvuq+3Bvr/sOg9b3d0u1AZHxmv+O4Qef0aFmpmM4k03CaeBH8u9k72m9BnFkLR5B1pX8&#10;z15/A1BLAwQUAAAACACHTuJAD7h9fMwBAACaAwAADgAAAGRycy9lMm9Eb2MueG1srVPNbtswDL4P&#10;2DsIui92U7TLjDjFgKDDgGEr0O0BFFmOBegPpBI7L7C9wU677L7nynOMkp10bS897CKTFPWR30d6&#10;eTNYw/YKUHtX84tZyZly0jfabWv+7evtmwVnGIVrhPFO1fygkN+sXr9a9qFSc9950yhgBOKw6kPN&#10;uxhDVRQoO2UFznxQji5bD1ZEcmFbNCB6QremmJflddF7aAJ4qRApuh4v+YQILwH0baulWnu5s8rF&#10;ERWUEZEoYacD8lXutm2VjF/aFlVkpubENOaTipC9SWexWopqCyJ0Wk4tiJe08ISTFdpR0TPUWkTB&#10;dqCfQVktwaNv40x6W4xEsiLE4qJ8os19J4LKXEhqDGfR8f/Bys/7O2C6qfkVZ05YGvjx54/jrz/H&#10;398vkzp9wIqS7sMdTB6SmagOLdj0JRJsyIoezoqqITJJwfli8W5OyJKuLsvrt+VVwiweHgfA+EF5&#10;y5JRc6CBZR3F/hPGMfWUkmo5f6uNobiojHsUIMwxovLUp9ep+7HfZMVhM0wkNr45EPGeJl9zR4vO&#10;mfnoSNi0JCcDTsbmZOwC6G2XtyhVx/B+F6ml3GmqMMISw+TQyDLXab3STvzr56yHX2r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QuR/SAAAAAwEAAA8AAAAAAAAAAQAgAAAAIgAAAGRycy9kb3du&#10;cmV2LnhtbFBLAQIUABQAAAAIAIdO4kAPuH18zAEAAJoDAAAOAAAAAAAAAAEAIAAAACEBAABkcnMv&#10;ZTJvRG9jLnhtbFBLBQYAAAAABgAGAFkBAABf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B2A27"/>
    <w:multiLevelType w:val="singleLevel"/>
    <w:tmpl w:val="903B2A27"/>
    <w:lvl w:ilvl="0" w:tentative="0">
      <w:start w:val="2"/>
      <w:numFmt w:val="decimal"/>
      <w:suff w:val="space"/>
      <w:lvlText w:val="%1．"/>
      <w:lvlJc w:val="left"/>
      <w:pPr>
        <w:ind w:left="0" w:firstLine="0"/>
      </w:pPr>
      <w:rPr>
        <w:rFonts w:hint="eastAsia"/>
      </w:rPr>
    </w:lvl>
  </w:abstractNum>
  <w:abstractNum w:abstractNumId="1">
    <w:nsid w:val="E7DACEE7"/>
    <w:multiLevelType w:val="singleLevel"/>
    <w:tmpl w:val="E7DACEE7"/>
    <w:lvl w:ilvl="0" w:tentative="0">
      <w:start w:val="2"/>
      <w:numFmt w:val="decimal"/>
      <w:suff w:val="space"/>
      <w:lvlText w:val="%1．"/>
      <w:lvlJc w:val="left"/>
      <w:pPr>
        <w:ind w:left="0" w:firstLine="0"/>
      </w:pPr>
      <w:rPr>
        <w:rFonts w:hint="eastAsia"/>
      </w:rPr>
    </w:lvl>
  </w:abstractNum>
  <w:abstractNum w:abstractNumId="2">
    <w:nsid w:val="F06B8EFF"/>
    <w:multiLevelType w:val="singleLevel"/>
    <w:tmpl w:val="F06B8EFF"/>
    <w:lvl w:ilvl="0" w:tentative="0">
      <w:start w:val="2"/>
      <w:numFmt w:val="decimal"/>
      <w:suff w:val="space"/>
      <w:lvlText w:val="%1."/>
      <w:lvlJc w:val="left"/>
    </w:lvl>
  </w:abstractNum>
  <w:abstractNum w:abstractNumId="3">
    <w:nsid w:val="FA133A61"/>
    <w:multiLevelType w:val="singleLevel"/>
    <w:tmpl w:val="FA133A61"/>
    <w:lvl w:ilvl="0" w:tentative="0">
      <w:start w:val="3"/>
      <w:numFmt w:val="chineseCounting"/>
      <w:suff w:val="nothing"/>
      <w:lvlText w:val="%1、"/>
      <w:lvlJc w:val="left"/>
      <w:rPr>
        <w:rFonts w:hint="eastAsia"/>
      </w:rPr>
    </w:lvl>
  </w:abstractNum>
  <w:abstractNum w:abstractNumId="4">
    <w:nsid w:val="0277024A"/>
    <w:multiLevelType w:val="singleLevel"/>
    <w:tmpl w:val="0277024A"/>
    <w:lvl w:ilvl="0" w:tentative="0">
      <w:start w:val="2"/>
      <w:numFmt w:val="decimal"/>
      <w:suff w:val="space"/>
      <w:lvlText w:val="%1．"/>
      <w:lvlJc w:val="left"/>
      <w:pPr>
        <w:ind w:left="0" w:firstLine="0"/>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F"/>
    <w:rsid w:val="00172234"/>
    <w:rsid w:val="00214168"/>
    <w:rsid w:val="00281D4B"/>
    <w:rsid w:val="002B16CC"/>
    <w:rsid w:val="002B7EA8"/>
    <w:rsid w:val="003169FA"/>
    <w:rsid w:val="00333E31"/>
    <w:rsid w:val="003350D9"/>
    <w:rsid w:val="003D6DB6"/>
    <w:rsid w:val="004C5D98"/>
    <w:rsid w:val="005D3131"/>
    <w:rsid w:val="006328C8"/>
    <w:rsid w:val="00660892"/>
    <w:rsid w:val="006B1098"/>
    <w:rsid w:val="00712592"/>
    <w:rsid w:val="00751273"/>
    <w:rsid w:val="00781047"/>
    <w:rsid w:val="007A7224"/>
    <w:rsid w:val="007C56B0"/>
    <w:rsid w:val="00875B96"/>
    <w:rsid w:val="00A70E6F"/>
    <w:rsid w:val="00A96165"/>
    <w:rsid w:val="00AD3DE4"/>
    <w:rsid w:val="00B91F4E"/>
    <w:rsid w:val="00BB1315"/>
    <w:rsid w:val="00BB4111"/>
    <w:rsid w:val="00BD1472"/>
    <w:rsid w:val="00BD240D"/>
    <w:rsid w:val="00CA49E1"/>
    <w:rsid w:val="00CC4A90"/>
    <w:rsid w:val="00CD35CC"/>
    <w:rsid w:val="00F94BAD"/>
    <w:rsid w:val="01157FB2"/>
    <w:rsid w:val="01540631"/>
    <w:rsid w:val="015C5315"/>
    <w:rsid w:val="015F66A8"/>
    <w:rsid w:val="01EE4BE0"/>
    <w:rsid w:val="01FB382F"/>
    <w:rsid w:val="0240105C"/>
    <w:rsid w:val="033727BB"/>
    <w:rsid w:val="034064CE"/>
    <w:rsid w:val="03535EE9"/>
    <w:rsid w:val="03706128"/>
    <w:rsid w:val="03A75454"/>
    <w:rsid w:val="04997996"/>
    <w:rsid w:val="05465B1A"/>
    <w:rsid w:val="05DC73DB"/>
    <w:rsid w:val="06396D92"/>
    <w:rsid w:val="066C08F5"/>
    <w:rsid w:val="06E41075"/>
    <w:rsid w:val="07C0463A"/>
    <w:rsid w:val="08A94972"/>
    <w:rsid w:val="08AF1590"/>
    <w:rsid w:val="092C28B6"/>
    <w:rsid w:val="097B2B2A"/>
    <w:rsid w:val="098C1F9F"/>
    <w:rsid w:val="09911BF9"/>
    <w:rsid w:val="0A151802"/>
    <w:rsid w:val="0B1F6A38"/>
    <w:rsid w:val="0B430745"/>
    <w:rsid w:val="0BB670C9"/>
    <w:rsid w:val="0C15171B"/>
    <w:rsid w:val="0C3111EA"/>
    <w:rsid w:val="0C34164E"/>
    <w:rsid w:val="0C4A4A34"/>
    <w:rsid w:val="0C6325D5"/>
    <w:rsid w:val="0C815A1F"/>
    <w:rsid w:val="0CAC1763"/>
    <w:rsid w:val="0CD40BBC"/>
    <w:rsid w:val="0D3D2C0A"/>
    <w:rsid w:val="0D5A13FB"/>
    <w:rsid w:val="0DB061F2"/>
    <w:rsid w:val="0DE83288"/>
    <w:rsid w:val="0DF6274B"/>
    <w:rsid w:val="0E730209"/>
    <w:rsid w:val="0EAB24DC"/>
    <w:rsid w:val="0F0F7689"/>
    <w:rsid w:val="0F15429F"/>
    <w:rsid w:val="0F1575ED"/>
    <w:rsid w:val="0F5B130F"/>
    <w:rsid w:val="0F834964"/>
    <w:rsid w:val="0FC40032"/>
    <w:rsid w:val="1005102B"/>
    <w:rsid w:val="108630D9"/>
    <w:rsid w:val="10994F4F"/>
    <w:rsid w:val="10B429FA"/>
    <w:rsid w:val="11416478"/>
    <w:rsid w:val="11896A45"/>
    <w:rsid w:val="11924765"/>
    <w:rsid w:val="1199113C"/>
    <w:rsid w:val="11C87D65"/>
    <w:rsid w:val="12B23CAF"/>
    <w:rsid w:val="13257D30"/>
    <w:rsid w:val="134321FA"/>
    <w:rsid w:val="13AD5C44"/>
    <w:rsid w:val="13DB36A3"/>
    <w:rsid w:val="144327B9"/>
    <w:rsid w:val="15065D95"/>
    <w:rsid w:val="152E4DA8"/>
    <w:rsid w:val="15F5683C"/>
    <w:rsid w:val="160A1A8F"/>
    <w:rsid w:val="16B20DEA"/>
    <w:rsid w:val="17C30BDA"/>
    <w:rsid w:val="18A656C5"/>
    <w:rsid w:val="18D16FE3"/>
    <w:rsid w:val="18D47014"/>
    <w:rsid w:val="19016527"/>
    <w:rsid w:val="19073D73"/>
    <w:rsid w:val="193B0C10"/>
    <w:rsid w:val="195658E3"/>
    <w:rsid w:val="19A568C9"/>
    <w:rsid w:val="19C1258F"/>
    <w:rsid w:val="1A0F1DCA"/>
    <w:rsid w:val="1A1028EC"/>
    <w:rsid w:val="1A4B166F"/>
    <w:rsid w:val="1B1B3CA8"/>
    <w:rsid w:val="1B476B0B"/>
    <w:rsid w:val="1B6356D0"/>
    <w:rsid w:val="1BDE3A9E"/>
    <w:rsid w:val="1C873100"/>
    <w:rsid w:val="1CF446C3"/>
    <w:rsid w:val="1DA51632"/>
    <w:rsid w:val="1DD56A45"/>
    <w:rsid w:val="1DF75A3C"/>
    <w:rsid w:val="1E276E8E"/>
    <w:rsid w:val="1F697B44"/>
    <w:rsid w:val="1FB15525"/>
    <w:rsid w:val="1FCC3FA6"/>
    <w:rsid w:val="200D44E8"/>
    <w:rsid w:val="201D37E5"/>
    <w:rsid w:val="204544B1"/>
    <w:rsid w:val="205313CB"/>
    <w:rsid w:val="207E557B"/>
    <w:rsid w:val="20C7755A"/>
    <w:rsid w:val="20EE2881"/>
    <w:rsid w:val="21484965"/>
    <w:rsid w:val="21491E0F"/>
    <w:rsid w:val="214E79B4"/>
    <w:rsid w:val="21B1173A"/>
    <w:rsid w:val="22866CA8"/>
    <w:rsid w:val="228C1601"/>
    <w:rsid w:val="229041B0"/>
    <w:rsid w:val="22E114E2"/>
    <w:rsid w:val="2383189C"/>
    <w:rsid w:val="23914AFC"/>
    <w:rsid w:val="23A61063"/>
    <w:rsid w:val="24B369D7"/>
    <w:rsid w:val="25900682"/>
    <w:rsid w:val="260647AF"/>
    <w:rsid w:val="261E6028"/>
    <w:rsid w:val="26AF7162"/>
    <w:rsid w:val="26BA0FC7"/>
    <w:rsid w:val="278E2EB9"/>
    <w:rsid w:val="27A26326"/>
    <w:rsid w:val="288C08D7"/>
    <w:rsid w:val="28B20A47"/>
    <w:rsid w:val="28FD59FB"/>
    <w:rsid w:val="29D576F4"/>
    <w:rsid w:val="29F66D6B"/>
    <w:rsid w:val="29FF4E1E"/>
    <w:rsid w:val="2A157658"/>
    <w:rsid w:val="2A25708D"/>
    <w:rsid w:val="2A2E2589"/>
    <w:rsid w:val="2AC5554A"/>
    <w:rsid w:val="2ACA31A2"/>
    <w:rsid w:val="2B1E5BA5"/>
    <w:rsid w:val="2B5D25F9"/>
    <w:rsid w:val="2B982FEF"/>
    <w:rsid w:val="2C0B2C09"/>
    <w:rsid w:val="2C795AC2"/>
    <w:rsid w:val="2CE7515E"/>
    <w:rsid w:val="2D4273EB"/>
    <w:rsid w:val="2DD56A2E"/>
    <w:rsid w:val="2DDE27C3"/>
    <w:rsid w:val="2E112F0B"/>
    <w:rsid w:val="2E2575C2"/>
    <w:rsid w:val="2E5F335D"/>
    <w:rsid w:val="2EA5091B"/>
    <w:rsid w:val="2EF101AE"/>
    <w:rsid w:val="2EF23A51"/>
    <w:rsid w:val="2F803AD2"/>
    <w:rsid w:val="2F83513E"/>
    <w:rsid w:val="2F9F76C6"/>
    <w:rsid w:val="2FAA1C5A"/>
    <w:rsid w:val="3054754F"/>
    <w:rsid w:val="30CC6DD4"/>
    <w:rsid w:val="30ED4D43"/>
    <w:rsid w:val="310E7DA1"/>
    <w:rsid w:val="31326B91"/>
    <w:rsid w:val="317E5AB9"/>
    <w:rsid w:val="32956648"/>
    <w:rsid w:val="32B60591"/>
    <w:rsid w:val="32E244E9"/>
    <w:rsid w:val="33052A0F"/>
    <w:rsid w:val="33125B5C"/>
    <w:rsid w:val="336047C7"/>
    <w:rsid w:val="337F3434"/>
    <w:rsid w:val="33EE7734"/>
    <w:rsid w:val="33FC0FEE"/>
    <w:rsid w:val="345E0C66"/>
    <w:rsid w:val="35210A39"/>
    <w:rsid w:val="35547310"/>
    <w:rsid w:val="356B2030"/>
    <w:rsid w:val="35E1646A"/>
    <w:rsid w:val="363126DC"/>
    <w:rsid w:val="365E4718"/>
    <w:rsid w:val="36983F60"/>
    <w:rsid w:val="36B545C4"/>
    <w:rsid w:val="37A07794"/>
    <w:rsid w:val="37AA0A17"/>
    <w:rsid w:val="38056DC3"/>
    <w:rsid w:val="38113EC5"/>
    <w:rsid w:val="384A5294"/>
    <w:rsid w:val="386F44C6"/>
    <w:rsid w:val="390F282B"/>
    <w:rsid w:val="391E3847"/>
    <w:rsid w:val="39AA2E24"/>
    <w:rsid w:val="39BB5213"/>
    <w:rsid w:val="39D04DA6"/>
    <w:rsid w:val="39F16AD4"/>
    <w:rsid w:val="3A0D1B03"/>
    <w:rsid w:val="3A9D1D86"/>
    <w:rsid w:val="3BB50886"/>
    <w:rsid w:val="3BCB1BD7"/>
    <w:rsid w:val="3C0534D2"/>
    <w:rsid w:val="3C462921"/>
    <w:rsid w:val="3C4D09C4"/>
    <w:rsid w:val="3C610C41"/>
    <w:rsid w:val="3CA8585F"/>
    <w:rsid w:val="3CAF2837"/>
    <w:rsid w:val="3D3F671F"/>
    <w:rsid w:val="3D7465AA"/>
    <w:rsid w:val="3DB90377"/>
    <w:rsid w:val="3DEB7276"/>
    <w:rsid w:val="3E1474D8"/>
    <w:rsid w:val="3E916722"/>
    <w:rsid w:val="3EE4788A"/>
    <w:rsid w:val="3F343666"/>
    <w:rsid w:val="3F9459A9"/>
    <w:rsid w:val="3F9C3BA9"/>
    <w:rsid w:val="3FA601E7"/>
    <w:rsid w:val="3FC6105F"/>
    <w:rsid w:val="40041E60"/>
    <w:rsid w:val="400500A7"/>
    <w:rsid w:val="40290E16"/>
    <w:rsid w:val="403D281E"/>
    <w:rsid w:val="407B4502"/>
    <w:rsid w:val="40A80131"/>
    <w:rsid w:val="40DB154F"/>
    <w:rsid w:val="411B496A"/>
    <w:rsid w:val="41516204"/>
    <w:rsid w:val="4161537D"/>
    <w:rsid w:val="41DC0A6E"/>
    <w:rsid w:val="422B7A92"/>
    <w:rsid w:val="42735998"/>
    <w:rsid w:val="427831F2"/>
    <w:rsid w:val="42811C8F"/>
    <w:rsid w:val="42ED432C"/>
    <w:rsid w:val="430C4B64"/>
    <w:rsid w:val="43AC27E0"/>
    <w:rsid w:val="43C46DA7"/>
    <w:rsid w:val="43E560D9"/>
    <w:rsid w:val="4406426A"/>
    <w:rsid w:val="44AA0F9E"/>
    <w:rsid w:val="451A3C59"/>
    <w:rsid w:val="45300FDB"/>
    <w:rsid w:val="457F06C3"/>
    <w:rsid w:val="45984D16"/>
    <w:rsid w:val="462D5470"/>
    <w:rsid w:val="46626A50"/>
    <w:rsid w:val="46A352EB"/>
    <w:rsid w:val="46AC2ABD"/>
    <w:rsid w:val="47403017"/>
    <w:rsid w:val="47505304"/>
    <w:rsid w:val="47C85420"/>
    <w:rsid w:val="48112713"/>
    <w:rsid w:val="482C137F"/>
    <w:rsid w:val="48307645"/>
    <w:rsid w:val="4876338C"/>
    <w:rsid w:val="48782F2F"/>
    <w:rsid w:val="489B6AD7"/>
    <w:rsid w:val="48DE2B75"/>
    <w:rsid w:val="497F765C"/>
    <w:rsid w:val="49914D65"/>
    <w:rsid w:val="49917032"/>
    <w:rsid w:val="49D62B56"/>
    <w:rsid w:val="4A3F4307"/>
    <w:rsid w:val="4A650347"/>
    <w:rsid w:val="4A731CDA"/>
    <w:rsid w:val="4A8D43F1"/>
    <w:rsid w:val="4BA17104"/>
    <w:rsid w:val="4C246E13"/>
    <w:rsid w:val="4C5E615B"/>
    <w:rsid w:val="4C8957CF"/>
    <w:rsid w:val="4CA9401A"/>
    <w:rsid w:val="4D2A0ADB"/>
    <w:rsid w:val="4D86007F"/>
    <w:rsid w:val="4DF33295"/>
    <w:rsid w:val="4E1B39AA"/>
    <w:rsid w:val="4E9167D4"/>
    <w:rsid w:val="4ED3771E"/>
    <w:rsid w:val="4EDE78E9"/>
    <w:rsid w:val="4EF602CA"/>
    <w:rsid w:val="4F4A5A76"/>
    <w:rsid w:val="4FA83F80"/>
    <w:rsid w:val="501553A2"/>
    <w:rsid w:val="5049433A"/>
    <w:rsid w:val="516F3756"/>
    <w:rsid w:val="51830D1C"/>
    <w:rsid w:val="51AE2603"/>
    <w:rsid w:val="520E2D11"/>
    <w:rsid w:val="527524B5"/>
    <w:rsid w:val="527F488F"/>
    <w:rsid w:val="52936624"/>
    <w:rsid w:val="52AF0EA3"/>
    <w:rsid w:val="52C15C3F"/>
    <w:rsid w:val="52E95C4B"/>
    <w:rsid w:val="52FF30F4"/>
    <w:rsid w:val="53400CF2"/>
    <w:rsid w:val="53461A0A"/>
    <w:rsid w:val="53597E7E"/>
    <w:rsid w:val="5442107D"/>
    <w:rsid w:val="552B1E68"/>
    <w:rsid w:val="5554572B"/>
    <w:rsid w:val="556E690D"/>
    <w:rsid w:val="559F6154"/>
    <w:rsid w:val="561F4BD3"/>
    <w:rsid w:val="56246573"/>
    <w:rsid w:val="565E1E8B"/>
    <w:rsid w:val="569F3BF4"/>
    <w:rsid w:val="572C7BC6"/>
    <w:rsid w:val="580456D9"/>
    <w:rsid w:val="580A50F3"/>
    <w:rsid w:val="58810E97"/>
    <w:rsid w:val="58993EE3"/>
    <w:rsid w:val="5927379A"/>
    <w:rsid w:val="59591FA2"/>
    <w:rsid w:val="5A672E14"/>
    <w:rsid w:val="5AC716AD"/>
    <w:rsid w:val="5AC96D6F"/>
    <w:rsid w:val="5B4E1F2C"/>
    <w:rsid w:val="5BB73E72"/>
    <w:rsid w:val="5BC0214E"/>
    <w:rsid w:val="5BDA103E"/>
    <w:rsid w:val="5C264169"/>
    <w:rsid w:val="5C56696D"/>
    <w:rsid w:val="5C605345"/>
    <w:rsid w:val="5C90258F"/>
    <w:rsid w:val="5C9E4348"/>
    <w:rsid w:val="5D28736E"/>
    <w:rsid w:val="5D7F3017"/>
    <w:rsid w:val="5E0302E2"/>
    <w:rsid w:val="5E396782"/>
    <w:rsid w:val="5EC55EF2"/>
    <w:rsid w:val="5ED62FD6"/>
    <w:rsid w:val="5EDE4A79"/>
    <w:rsid w:val="5EE72B4C"/>
    <w:rsid w:val="5F1B2677"/>
    <w:rsid w:val="5FE10B29"/>
    <w:rsid w:val="60075AF1"/>
    <w:rsid w:val="60111B84"/>
    <w:rsid w:val="60302186"/>
    <w:rsid w:val="60981DB2"/>
    <w:rsid w:val="60A17134"/>
    <w:rsid w:val="60B12264"/>
    <w:rsid w:val="61E679C3"/>
    <w:rsid w:val="62033374"/>
    <w:rsid w:val="624E6892"/>
    <w:rsid w:val="6254770E"/>
    <w:rsid w:val="625A342C"/>
    <w:rsid w:val="634F4412"/>
    <w:rsid w:val="63A1429D"/>
    <w:rsid w:val="63A676A3"/>
    <w:rsid w:val="63AF2E12"/>
    <w:rsid w:val="63CF1562"/>
    <w:rsid w:val="63E865CB"/>
    <w:rsid w:val="6430407E"/>
    <w:rsid w:val="652234B5"/>
    <w:rsid w:val="652F562F"/>
    <w:rsid w:val="65A6309F"/>
    <w:rsid w:val="65DE3BCB"/>
    <w:rsid w:val="65EB7F6A"/>
    <w:rsid w:val="65EE1F21"/>
    <w:rsid w:val="663230FF"/>
    <w:rsid w:val="66671E3F"/>
    <w:rsid w:val="667E2810"/>
    <w:rsid w:val="668113E2"/>
    <w:rsid w:val="66A71A8C"/>
    <w:rsid w:val="675B6338"/>
    <w:rsid w:val="67BD5650"/>
    <w:rsid w:val="67C14F94"/>
    <w:rsid w:val="67DD0A5B"/>
    <w:rsid w:val="68444292"/>
    <w:rsid w:val="68B43217"/>
    <w:rsid w:val="68E20EA7"/>
    <w:rsid w:val="69440767"/>
    <w:rsid w:val="6951491D"/>
    <w:rsid w:val="69852378"/>
    <w:rsid w:val="69A7455F"/>
    <w:rsid w:val="69B95DE3"/>
    <w:rsid w:val="6A1D7A5D"/>
    <w:rsid w:val="6B1C4F1A"/>
    <w:rsid w:val="6BB213F3"/>
    <w:rsid w:val="6BD43A06"/>
    <w:rsid w:val="6C121E6D"/>
    <w:rsid w:val="6C6E640A"/>
    <w:rsid w:val="6CCB416F"/>
    <w:rsid w:val="6CD90EFA"/>
    <w:rsid w:val="6CE52D21"/>
    <w:rsid w:val="6CEF41CA"/>
    <w:rsid w:val="6CFC2B4A"/>
    <w:rsid w:val="6D3D1AAA"/>
    <w:rsid w:val="6D450165"/>
    <w:rsid w:val="6D614555"/>
    <w:rsid w:val="6D7B0CA2"/>
    <w:rsid w:val="6DD55F37"/>
    <w:rsid w:val="6E2265D7"/>
    <w:rsid w:val="6E292004"/>
    <w:rsid w:val="6E4A07AF"/>
    <w:rsid w:val="6E6051AC"/>
    <w:rsid w:val="6F292353"/>
    <w:rsid w:val="6F4B04D2"/>
    <w:rsid w:val="6F60065A"/>
    <w:rsid w:val="6F787B0A"/>
    <w:rsid w:val="6FD97DDD"/>
    <w:rsid w:val="704B15E6"/>
    <w:rsid w:val="705B6920"/>
    <w:rsid w:val="706E3D27"/>
    <w:rsid w:val="708674EF"/>
    <w:rsid w:val="70D77FCE"/>
    <w:rsid w:val="713719DB"/>
    <w:rsid w:val="71843ACF"/>
    <w:rsid w:val="71A307CD"/>
    <w:rsid w:val="71CC355D"/>
    <w:rsid w:val="71D4592A"/>
    <w:rsid w:val="71DA5271"/>
    <w:rsid w:val="723335ED"/>
    <w:rsid w:val="726C69E2"/>
    <w:rsid w:val="737B5E74"/>
    <w:rsid w:val="73803195"/>
    <w:rsid w:val="742B1D2A"/>
    <w:rsid w:val="746703EE"/>
    <w:rsid w:val="7496748A"/>
    <w:rsid w:val="749E7F62"/>
    <w:rsid w:val="74EA03DE"/>
    <w:rsid w:val="759E2717"/>
    <w:rsid w:val="763C1088"/>
    <w:rsid w:val="76A957C2"/>
    <w:rsid w:val="76C155C3"/>
    <w:rsid w:val="76F1189B"/>
    <w:rsid w:val="771F137E"/>
    <w:rsid w:val="77200CF5"/>
    <w:rsid w:val="780374D1"/>
    <w:rsid w:val="78D463F6"/>
    <w:rsid w:val="796545E9"/>
    <w:rsid w:val="7A594413"/>
    <w:rsid w:val="7B0845C3"/>
    <w:rsid w:val="7B720960"/>
    <w:rsid w:val="7B8A3CB9"/>
    <w:rsid w:val="7B9C450C"/>
    <w:rsid w:val="7BB97E8E"/>
    <w:rsid w:val="7C210623"/>
    <w:rsid w:val="7C226A1E"/>
    <w:rsid w:val="7C475ACB"/>
    <w:rsid w:val="7C7B49DA"/>
    <w:rsid w:val="7CB04B62"/>
    <w:rsid w:val="7D9E3464"/>
    <w:rsid w:val="7DAC3006"/>
    <w:rsid w:val="7E6578C8"/>
    <w:rsid w:val="7E767542"/>
    <w:rsid w:val="7E926B11"/>
    <w:rsid w:val="7E9A1559"/>
    <w:rsid w:val="7EA156F3"/>
    <w:rsid w:val="7EB93AC1"/>
    <w:rsid w:val="7ECF3B85"/>
    <w:rsid w:val="7F097CFF"/>
    <w:rsid w:val="7F2217B7"/>
    <w:rsid w:val="7F3C26C9"/>
    <w:rsid w:val="7F650C89"/>
    <w:rsid w:val="7FAD45BE"/>
    <w:rsid w:val="7FDB7F49"/>
    <w:rsid w:val="7FE5570E"/>
    <w:rsid w:val="7FEC0403"/>
    <w:rsid w:val="7FFE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Cambria" w:hAnsi="Cambr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unhideWhenUsed/>
    <w:qFormat/>
    <w:uiPriority w:val="0"/>
    <w:rPr>
      <w:rFonts w:ascii="宋体"/>
      <w:sz w:val="18"/>
      <w:szCs w:val="18"/>
    </w:rPr>
  </w:style>
  <w:style w:type="paragraph" w:styleId="5">
    <w:name w:val="annotation text"/>
    <w:basedOn w:val="1"/>
    <w:link w:val="47"/>
    <w:qFormat/>
    <w:uiPriority w:val="0"/>
    <w:pPr>
      <w:jc w:val="left"/>
    </w:pPr>
    <w:rPr>
      <w:szCs w:val="20"/>
    </w:rPr>
  </w:style>
  <w:style w:type="paragraph" w:styleId="6">
    <w:name w:val="Body Text Indent"/>
    <w:basedOn w:val="1"/>
    <w:link w:val="48"/>
    <w:qFormat/>
    <w:uiPriority w:val="0"/>
    <w:pPr>
      <w:spacing w:line="360" w:lineRule="auto"/>
      <w:ind w:firstLine="560" w:firstLineChars="200"/>
    </w:pPr>
    <w:rPr>
      <w:rFonts w:ascii="仿宋_GB2312" w:eastAsia="仿宋_GB2312"/>
      <w:sz w:val="28"/>
      <w:szCs w:val="30"/>
    </w:rPr>
  </w:style>
  <w:style w:type="paragraph" w:styleId="7">
    <w:name w:val="toc 3"/>
    <w:basedOn w:val="1"/>
    <w:next w:val="1"/>
    <w:qFormat/>
    <w:uiPriority w:val="0"/>
    <w:pPr>
      <w:ind w:left="840" w:leftChars="400"/>
    </w:pPr>
    <w:rPr>
      <w:szCs w:val="20"/>
    </w:rPr>
  </w:style>
  <w:style w:type="paragraph" w:styleId="8">
    <w:name w:val="Body Text Indent 2"/>
    <w:basedOn w:val="1"/>
    <w:link w:val="49"/>
    <w:qFormat/>
    <w:uiPriority w:val="0"/>
    <w:pPr>
      <w:spacing w:line="360" w:lineRule="auto"/>
      <w:ind w:firstLine="570"/>
    </w:pPr>
    <w:rPr>
      <w:rFonts w:hint="eastAsia" w:ascii="仿宋_GB2312" w:eastAsia="仿宋_GB2312"/>
      <w:sz w:val="28"/>
    </w:rPr>
  </w:style>
  <w:style w:type="paragraph" w:styleId="9">
    <w:name w:val="Balloon Text"/>
    <w:basedOn w:val="1"/>
    <w:link w:val="50"/>
    <w:semiHidden/>
    <w:qFormat/>
    <w:uiPriority w:val="0"/>
    <w:rPr>
      <w:sz w:val="18"/>
      <w:szCs w:val="18"/>
    </w:r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8778"/>
      </w:tabs>
    </w:pPr>
    <w:rPr>
      <w:rFonts w:ascii="楷体_GB2312" w:eastAsia="楷体_GB2312"/>
      <w:b/>
      <w:bCs/>
      <w:sz w:val="32"/>
      <w:szCs w:val="32"/>
    </w:rPr>
  </w:style>
  <w:style w:type="paragraph" w:styleId="13">
    <w:name w:val="Body Text Indent 3"/>
    <w:basedOn w:val="1"/>
    <w:link w:val="51"/>
    <w:qFormat/>
    <w:uiPriority w:val="0"/>
    <w:pPr>
      <w:adjustRightInd w:val="0"/>
      <w:snapToGrid w:val="0"/>
      <w:spacing w:line="360" w:lineRule="auto"/>
      <w:ind w:firstLine="555"/>
    </w:pPr>
    <w:rPr>
      <w:rFonts w:eastAsia="仿宋_GB2312"/>
      <w:sz w:val="28"/>
    </w:rPr>
  </w:style>
  <w:style w:type="paragraph" w:styleId="14">
    <w:name w:val="toc 2"/>
    <w:basedOn w:val="1"/>
    <w:next w:val="1"/>
    <w:qFormat/>
    <w:uiPriority w:val="0"/>
    <w:pPr>
      <w:ind w:left="200" w:leftChars="200"/>
    </w:pPr>
    <w:rPr>
      <w:rFonts w:eastAsia="楷体_GB2312"/>
      <w:sz w:val="24"/>
    </w:rPr>
  </w:style>
  <w:style w:type="paragraph" w:styleId="15">
    <w:name w:val="Body Text 2"/>
    <w:basedOn w:val="1"/>
    <w:link w:val="32"/>
    <w:unhideWhenUsed/>
    <w:qFormat/>
    <w:uiPriority w:val="0"/>
    <w:pPr>
      <w:widowControl/>
      <w:spacing w:line="360" w:lineRule="auto"/>
    </w:pPr>
    <w:rPr>
      <w:color w:val="FF0000"/>
      <w:kern w:val="0"/>
      <w:szCs w:val="20"/>
    </w:rPr>
  </w:style>
  <w:style w:type="paragraph" w:styleId="16">
    <w:name w:val="Normal (Web)"/>
    <w:basedOn w:val="1"/>
    <w:qFormat/>
    <w:uiPriority w:val="99"/>
    <w:pPr>
      <w:spacing w:beforeAutospacing="1" w:afterAutospacing="1"/>
      <w:jc w:val="left"/>
    </w:pPr>
    <w:rPr>
      <w:kern w:val="0"/>
      <w:sz w:val="24"/>
      <w:szCs w:val="20"/>
    </w:rPr>
  </w:style>
  <w:style w:type="paragraph" w:styleId="17">
    <w:name w:val="annotation subject"/>
    <w:basedOn w:val="5"/>
    <w:next w:val="5"/>
    <w:link w:val="52"/>
    <w:qFormat/>
    <w:uiPriority w:val="0"/>
    <w:rPr>
      <w:b/>
      <w:bCs/>
    </w:rPr>
  </w:style>
  <w:style w:type="table" w:styleId="19">
    <w:name w:val="Table Grid"/>
    <w:basedOn w:val="18"/>
    <w:uiPriority w:val="59"/>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rPr>
      <w:rFonts w:ascii="Times New Roman" w:hAnsi="Times New Roman" w:eastAsia="宋体" w:cs="Times New Roman"/>
    </w:rPr>
  </w:style>
  <w:style w:type="character" w:styleId="22">
    <w:name w:val="Emphasis"/>
    <w:basedOn w:val="20"/>
    <w:qFormat/>
    <w:uiPriority w:val="0"/>
    <w:rPr>
      <w:rFonts w:ascii="Times New Roman" w:hAnsi="Times New Roman" w:eastAsia="宋体" w:cs="Times New Roman"/>
      <w:i/>
    </w:rPr>
  </w:style>
  <w:style w:type="character" w:styleId="23">
    <w:name w:val="Hyperlink"/>
    <w:qFormat/>
    <w:uiPriority w:val="0"/>
    <w:rPr>
      <w:rFonts w:ascii="Times New Roman" w:hAnsi="Times New Roman" w:eastAsia="宋体" w:cs="Times New Roman"/>
      <w:color w:val="0000FF"/>
      <w:u w:val="single"/>
    </w:rPr>
  </w:style>
  <w:style w:type="character" w:styleId="24">
    <w:name w:val="annotation reference"/>
    <w:basedOn w:val="20"/>
    <w:qFormat/>
    <w:uiPriority w:val="0"/>
    <w:rPr>
      <w:rFonts w:ascii="Times New Roman" w:hAnsi="Times New Roman" w:eastAsia="宋体" w:cs="Times New Roman"/>
      <w:sz w:val="21"/>
      <w:szCs w:val="21"/>
    </w:rPr>
  </w:style>
  <w:style w:type="character" w:customStyle="1" w:styleId="25">
    <w:name w:val="标题 1 Char"/>
    <w:basedOn w:val="20"/>
    <w:link w:val="2"/>
    <w:qFormat/>
    <w:uiPriority w:val="0"/>
    <w:rPr>
      <w:rFonts w:ascii="Calibri" w:hAnsi="Calibri" w:eastAsia="宋体" w:cs="Times New Roman"/>
      <w:b/>
      <w:bCs/>
      <w:kern w:val="44"/>
      <w:sz w:val="44"/>
      <w:szCs w:val="44"/>
    </w:rPr>
  </w:style>
  <w:style w:type="character" w:customStyle="1" w:styleId="26">
    <w:name w:val="标题 2 Char"/>
    <w:basedOn w:val="20"/>
    <w:link w:val="3"/>
    <w:qFormat/>
    <w:uiPriority w:val="0"/>
    <w:rPr>
      <w:rFonts w:ascii="Cambria" w:hAnsi="Cambria" w:eastAsia="宋体" w:cs="Times New Roman"/>
      <w:b/>
      <w:bCs/>
      <w:sz w:val="32"/>
      <w:szCs w:val="32"/>
    </w:rPr>
  </w:style>
  <w:style w:type="character" w:customStyle="1" w:styleId="27">
    <w:name w:val="页眉 Char"/>
    <w:basedOn w:val="20"/>
    <w:link w:val="11"/>
    <w:qFormat/>
    <w:uiPriority w:val="0"/>
    <w:rPr>
      <w:rFonts w:ascii="Times New Roman" w:hAnsi="Times New Roman" w:eastAsia="宋体" w:cs="Times New Roman"/>
      <w:sz w:val="18"/>
      <w:szCs w:val="18"/>
    </w:rPr>
  </w:style>
  <w:style w:type="character" w:customStyle="1" w:styleId="28">
    <w:name w:val="页眉 Char1"/>
    <w:basedOn w:val="20"/>
    <w:link w:val="11"/>
    <w:semiHidden/>
    <w:qFormat/>
    <w:uiPriority w:val="99"/>
    <w:rPr>
      <w:rFonts w:ascii="Times New Roman" w:hAnsi="Times New Roman" w:eastAsia="宋体" w:cs="Times New Roman"/>
      <w:sz w:val="18"/>
      <w:szCs w:val="18"/>
    </w:rPr>
  </w:style>
  <w:style w:type="character" w:customStyle="1" w:styleId="29">
    <w:name w:val="页脚 Char"/>
    <w:basedOn w:val="20"/>
    <w:link w:val="10"/>
    <w:qFormat/>
    <w:uiPriority w:val="99"/>
    <w:rPr>
      <w:rFonts w:ascii="Times New Roman" w:hAnsi="Times New Roman" w:eastAsia="宋体" w:cs="Times New Roman"/>
      <w:sz w:val="18"/>
      <w:szCs w:val="18"/>
    </w:rPr>
  </w:style>
  <w:style w:type="character" w:customStyle="1" w:styleId="30">
    <w:name w:val="页脚 Char1"/>
    <w:basedOn w:val="20"/>
    <w:link w:val="10"/>
    <w:semiHidden/>
    <w:qFormat/>
    <w:uiPriority w:val="99"/>
    <w:rPr>
      <w:rFonts w:ascii="Times New Roman" w:hAnsi="Times New Roman" w:eastAsia="宋体" w:cs="Times New Roman"/>
      <w:sz w:val="18"/>
      <w:szCs w:val="18"/>
    </w:rPr>
  </w:style>
  <w:style w:type="character" w:customStyle="1" w:styleId="31">
    <w:name w:val="正文文本 2 Char"/>
    <w:basedOn w:val="20"/>
    <w:link w:val="15"/>
    <w:semiHidden/>
    <w:qFormat/>
    <w:uiPriority w:val="0"/>
    <w:rPr>
      <w:rFonts w:ascii="Times New Roman" w:hAnsi="Times New Roman" w:eastAsia="宋体" w:cs="Times New Roman"/>
      <w:color w:val="FF0000"/>
      <w:kern w:val="0"/>
      <w:szCs w:val="20"/>
    </w:rPr>
  </w:style>
  <w:style w:type="character" w:customStyle="1" w:styleId="32">
    <w:name w:val="正文文本 2 Char1"/>
    <w:basedOn w:val="20"/>
    <w:link w:val="15"/>
    <w:semiHidden/>
    <w:qFormat/>
    <w:uiPriority w:val="99"/>
    <w:rPr>
      <w:rFonts w:ascii="Times New Roman" w:hAnsi="Times New Roman" w:eastAsia="宋体" w:cs="Times New Roman"/>
      <w:szCs w:val="24"/>
    </w:rPr>
  </w:style>
  <w:style w:type="character" w:customStyle="1" w:styleId="33">
    <w:name w:val="文档结构图 Char"/>
    <w:basedOn w:val="20"/>
    <w:link w:val="4"/>
    <w:qFormat/>
    <w:uiPriority w:val="0"/>
    <w:rPr>
      <w:rFonts w:ascii="宋体" w:hAnsi="Times New Roman" w:eastAsia="宋体" w:cs="Times New Roman"/>
      <w:sz w:val="18"/>
      <w:szCs w:val="18"/>
    </w:rPr>
  </w:style>
  <w:style w:type="character" w:customStyle="1" w:styleId="34">
    <w:name w:val="文档结构图 Char1"/>
    <w:basedOn w:val="20"/>
    <w:link w:val="4"/>
    <w:semiHidden/>
    <w:qFormat/>
    <w:uiPriority w:val="99"/>
    <w:rPr>
      <w:rFonts w:ascii="宋体" w:hAnsi="Times New Roman" w:eastAsia="宋体" w:cs="Times New Roman"/>
      <w:sz w:val="18"/>
      <w:szCs w:val="18"/>
    </w:rPr>
  </w:style>
  <w:style w:type="character" w:customStyle="1" w:styleId="35">
    <w:name w:val="font31"/>
    <w:qFormat/>
    <w:uiPriority w:val="0"/>
    <w:rPr>
      <w:rFonts w:hint="eastAsia" w:ascii="宋体" w:hAnsi="宋体" w:eastAsia="宋体" w:cs="宋体"/>
      <w:b/>
      <w:color w:val="000000"/>
      <w:sz w:val="24"/>
      <w:szCs w:val="24"/>
      <w:u w:val="none"/>
    </w:rPr>
  </w:style>
  <w:style w:type="character" w:customStyle="1" w:styleId="36">
    <w:name w:val="font41"/>
    <w:qFormat/>
    <w:uiPriority w:val="0"/>
    <w:rPr>
      <w:rFonts w:hint="eastAsia" w:ascii="宋体" w:hAnsi="宋体" w:eastAsia="宋体" w:cs="宋体"/>
      <w:b/>
      <w:color w:val="000000"/>
      <w:sz w:val="24"/>
      <w:szCs w:val="24"/>
      <w:u w:val="none"/>
    </w:rPr>
  </w:style>
  <w:style w:type="character" w:customStyle="1" w:styleId="37">
    <w:name w:val="font81"/>
    <w:qFormat/>
    <w:uiPriority w:val="0"/>
    <w:rPr>
      <w:rFonts w:hint="eastAsia" w:ascii="宋体" w:hAnsi="宋体" w:eastAsia="宋体" w:cs="宋体"/>
      <w:color w:val="000000"/>
      <w:sz w:val="24"/>
      <w:szCs w:val="24"/>
      <w:u w:val="none"/>
    </w:rPr>
  </w:style>
  <w:style w:type="character" w:customStyle="1" w:styleId="38">
    <w:name w:val="font91"/>
    <w:qFormat/>
    <w:uiPriority w:val="0"/>
    <w:rPr>
      <w:rFonts w:hint="eastAsia" w:ascii="宋体" w:hAnsi="宋体" w:eastAsia="宋体" w:cs="宋体"/>
      <w:color w:val="000000"/>
      <w:sz w:val="24"/>
      <w:szCs w:val="24"/>
      <w:u w:val="none"/>
    </w:rPr>
  </w:style>
  <w:style w:type="character" w:customStyle="1" w:styleId="39">
    <w:name w:val="font11"/>
    <w:qFormat/>
    <w:uiPriority w:val="0"/>
    <w:rPr>
      <w:rFonts w:hint="default" w:ascii="Times New Roman" w:hAnsi="Times New Roman" w:eastAsia="宋体" w:cs="Times New Roman"/>
      <w:color w:val="000000"/>
      <w:sz w:val="24"/>
      <w:szCs w:val="24"/>
      <w:u w:val="none"/>
    </w:rPr>
  </w:style>
  <w:style w:type="character" w:customStyle="1" w:styleId="40">
    <w:name w:val="font71"/>
    <w:qFormat/>
    <w:uiPriority w:val="0"/>
    <w:rPr>
      <w:rFonts w:hint="default" w:ascii="Times New Roman" w:hAnsi="Times New Roman" w:eastAsia="宋体" w:cs="Times New Roman"/>
      <w:color w:val="000000"/>
      <w:sz w:val="24"/>
      <w:szCs w:val="24"/>
      <w:u w:val="none"/>
      <w:vertAlign w:val="superscript"/>
    </w:rPr>
  </w:style>
  <w:style w:type="character" w:customStyle="1" w:styleId="41">
    <w:name w:val="font51"/>
    <w:qFormat/>
    <w:uiPriority w:val="0"/>
    <w:rPr>
      <w:rFonts w:hint="default" w:ascii="Times New Roman" w:hAnsi="Times New Roman" w:eastAsia="宋体" w:cs="Times New Roman"/>
      <w:b/>
      <w:color w:val="000000"/>
      <w:sz w:val="24"/>
      <w:szCs w:val="24"/>
      <w:u w:val="none"/>
    </w:rPr>
  </w:style>
  <w:style w:type="character" w:customStyle="1" w:styleId="42">
    <w:name w:val="font61"/>
    <w:qFormat/>
    <w:uiPriority w:val="0"/>
    <w:rPr>
      <w:rFonts w:hint="eastAsia" w:ascii="宋体" w:hAnsi="宋体" w:eastAsia="宋体" w:cs="宋体"/>
      <w:color w:val="000000"/>
      <w:sz w:val="22"/>
      <w:szCs w:val="22"/>
      <w:u w:val="none"/>
    </w:rPr>
  </w:style>
  <w:style w:type="character" w:customStyle="1" w:styleId="43">
    <w:name w:val="font21"/>
    <w:qFormat/>
    <w:uiPriority w:val="0"/>
    <w:rPr>
      <w:rFonts w:hint="eastAsia" w:ascii="宋体" w:hAnsi="宋体" w:eastAsia="宋体" w:cs="宋体"/>
      <w:color w:val="000000"/>
      <w:sz w:val="24"/>
      <w:szCs w:val="24"/>
      <w:u w:val="none"/>
    </w:rPr>
  </w:style>
  <w:style w:type="paragraph" w:customStyle="1" w:styleId="44">
    <w:name w:val="标题2"/>
    <w:basedOn w:val="3"/>
    <w:next w:val="1"/>
    <w:qFormat/>
    <w:uiPriority w:val="0"/>
    <w:pPr>
      <w:spacing w:beforeLines="50" w:afterLines="50" w:line="240" w:lineRule="auto"/>
    </w:pPr>
    <w:rPr>
      <w:rFonts w:ascii="黑体" w:hAnsi="Arial" w:eastAsia="黑体"/>
      <w:b w:val="0"/>
      <w:kern w:val="0"/>
      <w:sz w:val="28"/>
      <w:szCs w:val="28"/>
    </w:rPr>
  </w:style>
  <w:style w:type="paragraph" w:customStyle="1" w:styleId="45">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6">
    <w:name w:val="标题3"/>
    <w:basedOn w:val="44"/>
    <w:qFormat/>
    <w:uiPriority w:val="0"/>
    <w:pPr>
      <w:ind w:firstLine="200" w:firstLineChars="200"/>
    </w:pPr>
    <w:rPr>
      <w:rFonts w:ascii="Times New Roman" w:hAnsi="Times New Roman" w:eastAsia="楷体_GB2312"/>
    </w:rPr>
  </w:style>
  <w:style w:type="character" w:customStyle="1" w:styleId="47">
    <w:name w:val="批注文字 Char"/>
    <w:basedOn w:val="20"/>
    <w:link w:val="5"/>
    <w:qFormat/>
    <w:uiPriority w:val="0"/>
    <w:rPr>
      <w:rFonts w:ascii="Times New Roman" w:hAnsi="Times New Roman" w:eastAsia="宋体" w:cs="Times New Roman"/>
      <w:szCs w:val="20"/>
    </w:rPr>
  </w:style>
  <w:style w:type="character" w:customStyle="1" w:styleId="48">
    <w:name w:val="正文文本缩进 Char"/>
    <w:basedOn w:val="20"/>
    <w:link w:val="6"/>
    <w:qFormat/>
    <w:uiPriority w:val="0"/>
    <w:rPr>
      <w:rFonts w:ascii="仿宋_GB2312" w:hAnsi="Times New Roman" w:eastAsia="仿宋_GB2312" w:cs="Times New Roman"/>
      <w:sz w:val="28"/>
      <w:szCs w:val="30"/>
    </w:rPr>
  </w:style>
  <w:style w:type="character" w:customStyle="1" w:styleId="49">
    <w:name w:val="正文文本缩进 2 Char"/>
    <w:basedOn w:val="20"/>
    <w:link w:val="8"/>
    <w:qFormat/>
    <w:uiPriority w:val="0"/>
    <w:rPr>
      <w:rFonts w:hint="eastAsia" w:ascii="仿宋_GB2312" w:hAnsi="Times New Roman" w:eastAsia="仿宋_GB2312" w:cs="Times New Roman"/>
      <w:sz w:val="28"/>
    </w:rPr>
  </w:style>
  <w:style w:type="character" w:customStyle="1" w:styleId="50">
    <w:name w:val="批注框文本 Char"/>
    <w:basedOn w:val="20"/>
    <w:link w:val="9"/>
    <w:semiHidden/>
    <w:qFormat/>
    <w:uiPriority w:val="0"/>
    <w:rPr>
      <w:rFonts w:ascii="Times New Roman" w:hAnsi="Times New Roman" w:eastAsia="宋体" w:cs="Times New Roman"/>
      <w:sz w:val="18"/>
      <w:szCs w:val="18"/>
    </w:rPr>
  </w:style>
  <w:style w:type="character" w:customStyle="1" w:styleId="51">
    <w:name w:val="正文文本缩进 3 Char"/>
    <w:basedOn w:val="20"/>
    <w:link w:val="13"/>
    <w:qFormat/>
    <w:uiPriority w:val="0"/>
    <w:rPr>
      <w:rFonts w:ascii="Times New Roman" w:hAnsi="Times New Roman" w:eastAsia="仿宋_GB2312" w:cs="Times New Roman"/>
      <w:sz w:val="28"/>
    </w:rPr>
  </w:style>
  <w:style w:type="character" w:customStyle="1" w:styleId="52">
    <w:name w:val="批注主题 Char"/>
    <w:basedOn w:val="47"/>
    <w:link w:val="17"/>
    <w:qFormat/>
    <w:uiPriority w:val="0"/>
    <w:rPr>
      <w:b/>
      <w:bCs/>
    </w:rPr>
  </w:style>
  <w:style w:type="paragraph" w:customStyle="1" w:styleId="53">
    <w:name w:val="p0"/>
    <w:basedOn w:val="1"/>
    <w:qFormat/>
    <w:uiPriority w:val="0"/>
    <w:pPr>
      <w:widowControl/>
      <w:ind w:firstLine="420"/>
      <w:jc w:val="left"/>
    </w:pPr>
    <w:rPr>
      <w:kern w:val="0"/>
      <w:sz w:val="20"/>
      <w:szCs w:val="20"/>
    </w:rPr>
  </w:style>
  <w:style w:type="paragraph" w:styleId="54">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4526</Words>
  <Characters>25804</Characters>
  <Lines>215</Lines>
  <Paragraphs>60</Paragraphs>
  <TotalTime>9</TotalTime>
  <ScaleCrop>false</ScaleCrop>
  <LinksUpToDate>false</LinksUpToDate>
  <CharactersWithSpaces>30270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2020-07-07T07:19:00Z</dcterms:created>
  <dc:creator>Administrator</dc:creator>
  <cp:lastModifiedBy>王可</cp:lastModifiedBy>
  <cp:lastPrinted>2020-09-15T01:47:00Z</cp:lastPrinted>
  <dcterms:modified xsi:type="dcterms:W3CDTF">2020-11-06T07:09:40Z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