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1" w:after="0" w:afterAutospacing="1" w:line="23" w:lineRule="atLeast"/>
        <w:ind w:left="0" w:right="0"/>
        <w:jc w:val="center"/>
      </w:pPr>
      <w:r>
        <w:rPr>
          <w:rFonts w:ascii="华文中宋" w:hAnsi="华文中宋" w:eastAsia="华文中宋" w:cs="华文中宋"/>
          <w:b/>
          <w:bCs/>
          <w:kern w:val="2"/>
          <w:sz w:val="48"/>
          <w:szCs w:val="48"/>
          <w:lang w:val="en-US" w:eastAsia="zh-CN" w:bidi="ar"/>
        </w:rPr>
        <w:t>宿州市贸促会</w:t>
      </w:r>
      <w:r>
        <w:rPr>
          <w:rFonts w:hint="default" w:ascii="华文中宋" w:hAnsi="华文中宋" w:eastAsia="华文中宋" w:cs="华文中宋"/>
          <w:b/>
          <w:bCs/>
          <w:kern w:val="2"/>
          <w:sz w:val="48"/>
          <w:szCs w:val="48"/>
          <w:lang w:val="en-US" w:eastAsia="zh-CN" w:bidi="ar"/>
        </w:rPr>
        <w:t>2018年度部门决算</w:t>
      </w:r>
    </w:p>
    <w:p>
      <w:pPr>
        <w:keepNext w:val="0"/>
        <w:keepLines w:val="0"/>
        <w:widowControl/>
        <w:suppressLineNumbers w:val="0"/>
        <w:spacing w:before="0" w:beforeAutospacing="1" w:after="0" w:afterAutospacing="1"/>
        <w:ind w:left="0" w:right="0"/>
        <w:jc w:val="left"/>
      </w:pPr>
      <w:r>
        <w:rPr>
          <w:rFonts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rPr>
          <w:rFonts w:hint="default" w:ascii="宋体" w:hAnsi="宋体" w:eastAsia="仿宋_GB2312" w:cs="仿宋_GB2312"/>
          <w:kern w:val="2"/>
          <w:sz w:val="28"/>
          <w:szCs w:val="28"/>
          <w:lang w:val="en-US" w:eastAsia="zh-CN" w:bidi="ar"/>
        </w:rPr>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rPr>
          <w:rFonts w:hint="default" w:ascii="宋体" w:hAnsi="宋体" w:eastAsia="仿宋_GB2312" w:cs="仿宋_GB2312"/>
          <w:kern w:val="2"/>
          <w:sz w:val="28"/>
          <w:szCs w:val="28"/>
          <w:lang w:val="en-US" w:eastAsia="zh-CN" w:bidi="ar"/>
        </w:rPr>
      </w:pPr>
    </w:p>
    <w:p>
      <w:pPr>
        <w:keepNext w:val="0"/>
        <w:keepLines w:val="0"/>
        <w:widowControl/>
        <w:suppressLineNumbers w:val="0"/>
        <w:spacing w:before="0" w:beforeAutospacing="1" w:after="0" w:afterAutospacing="1"/>
        <w:ind w:left="0" w:right="0"/>
        <w:jc w:val="left"/>
        <w:rPr>
          <w:rFonts w:hint="default" w:ascii="宋体" w:hAnsi="宋体" w:eastAsia="仿宋_GB2312" w:cs="仿宋_GB2312"/>
          <w:kern w:val="2"/>
          <w:sz w:val="28"/>
          <w:szCs w:val="28"/>
          <w:lang w:val="en-US" w:eastAsia="zh-CN" w:bidi="ar"/>
        </w:rPr>
      </w:pP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widowControl/>
        <w:suppressLineNumbers w:val="0"/>
        <w:spacing w:before="0" w:beforeAutospacing="1" w:after="0" w:afterAutospacing="1"/>
        <w:ind w:left="0" w:right="0"/>
        <w:jc w:val="left"/>
      </w:pPr>
      <w:r>
        <w:rPr>
          <w:rFonts w:hint="default" w:ascii="宋体" w:hAnsi="宋体" w:eastAsia="仿宋_GB2312" w:cs="仿宋_GB2312"/>
          <w:kern w:val="2"/>
          <w:sz w:val="28"/>
          <w:szCs w:val="28"/>
          <w:lang w:val="en-US" w:eastAsia="zh-CN" w:bidi="ar"/>
        </w:rPr>
        <w:t xml:space="preserve"> </w:t>
      </w:r>
    </w:p>
    <w:p>
      <w:pPr>
        <w:pStyle w:val="2"/>
        <w:keepNext w:val="0"/>
        <w:keepLines w:val="0"/>
        <w:widowControl/>
        <w:suppressLineNumbers w:val="0"/>
        <w:adjustRightInd w:val="0"/>
        <w:snapToGrid w:val="0"/>
        <w:spacing w:before="0" w:beforeAutospacing="0" w:after="0" w:afterAutospacing="0" w:line="23" w:lineRule="atLeast"/>
        <w:ind w:left="0" w:right="0"/>
        <w:jc w:val="center"/>
      </w:pPr>
      <w:r>
        <w:rPr>
          <w:rFonts w:hint="default" w:ascii="仿宋_GB2312" w:eastAsia="仿宋_GB2312" w:cs="仿宋_GB2312"/>
          <w:b/>
          <w:bCs/>
          <w:kern w:val="0"/>
          <w:sz w:val="44"/>
          <w:szCs w:val="44"/>
        </w:rPr>
        <w:t>2019年9月</w:t>
      </w:r>
    </w:p>
    <w:p>
      <w:pPr>
        <w:keepNext w:val="0"/>
        <w:keepLines w:val="0"/>
        <w:widowControl/>
        <w:suppressLineNumbers w:val="0"/>
        <w:spacing w:before="0" w:beforeAutospacing="1" w:after="0" w:afterAutospacing="1" w:line="580" w:lineRule="exact"/>
        <w:ind w:left="0" w:right="0"/>
        <w:jc w:val="left"/>
      </w:pPr>
      <w:r>
        <w:rPr>
          <w:rFonts w:ascii="黑体" w:hAnsi="宋体" w:eastAsia="黑体" w:cs="黑体"/>
          <w:kern w:val="2"/>
          <w:sz w:val="48"/>
          <w:szCs w:val="48"/>
          <w:lang w:val="en-US" w:eastAsia="zh-CN" w:bidi="ar"/>
        </w:rPr>
        <w:t xml:space="preserve"> </w:t>
      </w:r>
    </w:p>
    <w:p>
      <w:pPr>
        <w:keepNext w:val="0"/>
        <w:keepLines w:val="0"/>
        <w:widowControl/>
        <w:suppressLineNumbers w:val="0"/>
        <w:spacing w:before="0" w:beforeAutospacing="1" w:after="0" w:afterAutospacing="1" w:line="580" w:lineRule="exact"/>
        <w:ind w:left="0" w:right="0"/>
        <w:jc w:val="center"/>
      </w:pPr>
      <w:r>
        <w:rPr>
          <w:rFonts w:hint="eastAsia" w:ascii="宋体" w:hAnsi="宋体" w:eastAsia="宋体" w:cs="宋体"/>
          <w:b/>
          <w:bCs/>
          <w:kern w:val="2"/>
          <w:sz w:val="48"/>
          <w:szCs w:val="48"/>
          <w:lang w:val="en-US" w:eastAsia="zh-CN" w:bidi="ar"/>
        </w:rPr>
        <w:t xml:space="preserve"> </w:t>
      </w:r>
    </w:p>
    <w:p>
      <w:pPr>
        <w:keepNext w:val="0"/>
        <w:keepLines w:val="0"/>
        <w:widowControl/>
        <w:suppressLineNumbers w:val="0"/>
        <w:spacing w:before="0" w:beforeAutospacing="1" w:after="0" w:afterAutospacing="1" w:line="580" w:lineRule="exact"/>
        <w:ind w:left="0" w:right="0"/>
        <w:jc w:val="center"/>
      </w:pPr>
      <w:r>
        <w:rPr>
          <w:rFonts w:hint="eastAsia" w:ascii="宋体" w:hAnsi="宋体" w:eastAsia="宋体" w:cs="宋体"/>
          <w:b/>
          <w:bCs/>
          <w:kern w:val="2"/>
          <w:sz w:val="48"/>
          <w:szCs w:val="48"/>
          <w:lang w:val="en-US" w:eastAsia="zh-CN" w:bidi="ar"/>
        </w:rPr>
        <w:t>目  录</w:t>
      </w:r>
    </w:p>
    <w:p>
      <w:pPr>
        <w:keepNext w:val="0"/>
        <w:keepLines w:val="0"/>
        <w:widowControl/>
        <w:suppressLineNumbers w:val="0"/>
        <w:spacing w:before="0" w:beforeAutospacing="1" w:after="0" w:afterAutospacing="1" w:line="550" w:lineRule="exact"/>
        <w:ind w:left="0" w:right="0"/>
        <w:jc w:val="left"/>
      </w:pPr>
      <w:r>
        <w:rPr>
          <w:rFonts w:hint="eastAsia" w:ascii="宋体" w:hAnsi="宋体" w:eastAsia="宋体" w:cs="宋体"/>
          <w:b/>
          <w:bCs/>
          <w:kern w:val="2"/>
          <w:sz w:val="32"/>
          <w:szCs w:val="32"/>
          <w:lang w:val="en-US" w:eastAsia="zh-CN" w:bidi="ar"/>
        </w:rPr>
        <w:t xml:space="preserve"> </w:t>
      </w:r>
    </w:p>
    <w:p>
      <w:pPr>
        <w:keepNext w:val="0"/>
        <w:keepLines w:val="0"/>
        <w:widowControl/>
        <w:suppressLineNumbers w:val="0"/>
        <w:spacing w:before="0" w:beforeAutospacing="1" w:after="0" w:afterAutospacing="1" w:line="550" w:lineRule="exact"/>
        <w:ind w:left="0" w:right="0"/>
        <w:jc w:val="left"/>
      </w:pPr>
      <w:r>
        <w:rPr>
          <w:rFonts w:hint="eastAsia" w:ascii="宋体" w:hAnsi="宋体" w:eastAsia="宋体" w:cs="宋体"/>
          <w:b/>
          <w:bCs/>
          <w:kern w:val="2"/>
          <w:sz w:val="32"/>
          <w:szCs w:val="32"/>
          <w:lang w:val="en-US" w:eastAsia="zh-CN" w:bidi="ar"/>
        </w:rPr>
        <w:t>第一部分 宿州市贸促会概况</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一、部门职责</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二、机构设置</w:t>
      </w:r>
    </w:p>
    <w:p>
      <w:pPr>
        <w:keepNext w:val="0"/>
        <w:keepLines w:val="0"/>
        <w:widowControl/>
        <w:suppressLineNumbers w:val="0"/>
        <w:spacing w:before="0" w:beforeAutospacing="1" w:after="0" w:afterAutospacing="1" w:line="550" w:lineRule="exact"/>
        <w:ind w:left="0" w:right="0"/>
        <w:jc w:val="left"/>
      </w:pPr>
      <w:r>
        <w:rPr>
          <w:rFonts w:hint="eastAsia" w:ascii="宋体" w:hAnsi="宋体" w:eastAsia="宋体" w:cs="宋体"/>
          <w:b/>
          <w:bCs/>
          <w:kern w:val="2"/>
          <w:sz w:val="32"/>
          <w:szCs w:val="32"/>
          <w:lang w:val="en-US" w:eastAsia="zh-CN" w:bidi="ar"/>
        </w:rPr>
        <w:t>第二部分 宿州市贸促会2018年度部门决算表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一、收入支出决算总表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二、收入决算表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三、支出决算表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四、财政拨款收入支出决算总表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五、一般公共预算财政拨款收入支出决算表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六、一般公共预算财政拨款基本支出决算表</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七、政府性基金预算财政拨款收入支出决算表</w:t>
      </w:r>
    </w:p>
    <w:p>
      <w:pPr>
        <w:keepNext w:val="0"/>
        <w:keepLines w:val="0"/>
        <w:widowControl/>
        <w:suppressLineNumbers w:val="0"/>
        <w:spacing w:before="0" w:beforeAutospacing="1" w:after="0" w:afterAutospacing="1" w:line="550" w:lineRule="exact"/>
        <w:ind w:left="0" w:right="0"/>
        <w:jc w:val="left"/>
      </w:pPr>
      <w:r>
        <w:rPr>
          <w:rFonts w:hint="eastAsia" w:ascii="宋体" w:hAnsi="宋体" w:eastAsia="宋体" w:cs="宋体"/>
          <w:b/>
          <w:bCs/>
          <w:kern w:val="2"/>
          <w:sz w:val="32"/>
          <w:szCs w:val="32"/>
          <w:lang w:val="en-US" w:eastAsia="zh-CN" w:bidi="ar"/>
        </w:rPr>
        <w:t>第三部分 宿州贸促会2018年度部门决算情况说明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一、收入支出决算总体情况</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二、收入决算情况说明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三、支出决算情况说明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四、财政拨款收入支出决算总体情况说明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五、一般公共预算财政拨款收入支出决算情况说明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六、一般公共预算财政拨款基本支出决算情况说明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七、政府性基金财政拨款收入支出决算情况说明</w:t>
      </w:r>
    </w:p>
    <w:p>
      <w:pPr>
        <w:keepNext w:val="0"/>
        <w:keepLines w:val="0"/>
        <w:widowControl/>
        <w:suppressLineNumbers w:val="0"/>
        <w:spacing w:before="0" w:beforeAutospacing="1" w:after="0" w:afterAutospacing="1" w:line="550" w:lineRule="exact"/>
        <w:ind w:left="0" w:right="0"/>
        <w:jc w:val="left"/>
      </w:pPr>
      <w:r>
        <w:rPr>
          <w:rFonts w:hint="default" w:ascii="仿宋_GB2312" w:hAnsi="宋体" w:eastAsia="仿宋_GB2312" w:cs="仿宋_GB2312"/>
          <w:kern w:val="2"/>
          <w:sz w:val="32"/>
          <w:szCs w:val="32"/>
          <w:lang w:val="en-US" w:eastAsia="zh-CN" w:bidi="ar"/>
        </w:rPr>
        <w:t>八、其他重要事项的情况说明</w:t>
      </w:r>
    </w:p>
    <w:p>
      <w:pPr>
        <w:keepNext w:val="0"/>
        <w:keepLines w:val="0"/>
        <w:widowControl/>
        <w:suppressLineNumbers w:val="0"/>
        <w:spacing w:before="0" w:beforeAutospacing="1" w:after="0" w:afterAutospacing="1" w:line="550" w:lineRule="exact"/>
        <w:ind w:left="0" w:right="0"/>
        <w:jc w:val="left"/>
      </w:pPr>
      <w:r>
        <w:rPr>
          <w:rFonts w:hint="eastAsia" w:ascii="宋体" w:hAnsi="宋体" w:eastAsia="宋体" w:cs="宋体"/>
          <w:b/>
          <w:bCs/>
          <w:kern w:val="2"/>
          <w:sz w:val="32"/>
          <w:szCs w:val="32"/>
          <w:lang w:val="en-US" w:eastAsia="zh-CN" w:bidi="ar"/>
        </w:rPr>
        <w:t>第四部分  名词解释</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bCs/>
          <w:kern w:val="2"/>
          <w:sz w:val="36"/>
          <w:szCs w:val="36"/>
          <w:lang w:val="en-US" w:eastAsia="zh-CN" w:bidi="ar"/>
        </w:rPr>
        <w:t>宿州市贸促会2018年度部门决算情况</w:t>
      </w:r>
    </w:p>
    <w:p>
      <w:pPr>
        <w:keepNext w:val="0"/>
        <w:keepLines w:val="0"/>
        <w:widowControl/>
        <w:suppressLineNumbers w:val="0"/>
        <w:spacing w:before="0" w:beforeAutospacing="1" w:after="0" w:afterAutospacing="1"/>
        <w:ind w:left="0" w:right="0" w:firstLine="640" w:firstLineChars="200"/>
        <w:jc w:val="left"/>
      </w:pPr>
      <w:r>
        <w:rPr>
          <w:rFonts w:hint="eastAsia" w:ascii="黑体" w:hAnsi="宋体" w:eastAsia="黑体" w:cs="黑体"/>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3" w:firstLineChars="200"/>
        <w:jc w:val="center"/>
      </w:pPr>
      <w:r>
        <w:rPr>
          <w:rFonts w:ascii="楷体" w:hAnsi="楷体" w:eastAsia="楷体" w:cs="楷体"/>
          <w:b/>
          <w:bCs/>
          <w:kern w:val="2"/>
          <w:sz w:val="32"/>
          <w:szCs w:val="32"/>
          <w:lang w:val="en-US" w:eastAsia="zh-CN" w:bidi="ar"/>
        </w:rPr>
        <w:t>第一部分</w:t>
      </w:r>
      <w:r>
        <w:rPr>
          <w:rFonts w:hint="eastAsia" w:ascii="楷体" w:hAnsi="楷体" w:eastAsia="楷体" w:cs="楷体"/>
          <w:b/>
          <w:bCs/>
          <w:kern w:val="2"/>
          <w:sz w:val="32"/>
          <w:szCs w:val="32"/>
          <w:lang w:val="en-US" w:eastAsia="zh-CN" w:bidi="ar"/>
        </w:rPr>
        <w:t xml:space="preserve"> 宿州市贸促会概况</w:t>
      </w:r>
    </w:p>
    <w:p>
      <w:pPr>
        <w:keepNext w:val="0"/>
        <w:keepLines w:val="0"/>
        <w:widowControl/>
        <w:numPr>
          <w:numId w:val="0"/>
        </w:numPr>
        <w:suppressLineNumbers w:val="0"/>
        <w:shd w:val="clear" w:fill="FFFFFF"/>
        <w:spacing w:before="0" w:beforeAutospacing="1" w:after="0" w:afterAutospacing="1" w:line="540" w:lineRule="atLeast"/>
        <w:ind w:left="1360" w:right="0" w:hanging="720"/>
        <w:jc w:val="left"/>
      </w:pPr>
      <w:r>
        <w:rPr>
          <w:rFonts w:ascii="仿宋" w:hAnsi="仿宋" w:eastAsia="仿宋" w:cs="仿宋"/>
          <w:b/>
          <w:bCs/>
          <w:kern w:val="2"/>
          <w:sz w:val="32"/>
          <w:szCs w:val="32"/>
          <w:shd w:val="clear" w:fill="FFFFFF"/>
          <w:lang w:val="en-US" w:eastAsia="zh-CN" w:bidi="ar"/>
        </w:rPr>
        <w:t>一、</w:t>
      </w:r>
      <w:r>
        <w:rPr>
          <w:rFonts w:hint="eastAsia" w:ascii="仿宋" w:hAnsi="仿宋" w:eastAsia="仿宋" w:cs="仿宋"/>
          <w:b/>
          <w:bCs/>
          <w:kern w:val="2"/>
          <w:sz w:val="32"/>
          <w:szCs w:val="32"/>
          <w:shd w:val="clear" w:fill="FFFFFF"/>
          <w:lang w:val="en-US" w:eastAsia="zh-CN" w:bidi="ar"/>
        </w:rPr>
        <w:t> 部门职责:</w:t>
      </w:r>
    </w:p>
    <w:p>
      <w:pPr>
        <w:keepNext w:val="0"/>
        <w:keepLines w:val="0"/>
        <w:widowControl/>
        <w:suppressLineNumbers w:val="0"/>
        <w:shd w:val="clear" w:fill="FFFFFF"/>
        <w:spacing w:before="0" w:beforeAutospacing="1" w:after="0" w:afterAutospacing="1" w:line="540" w:lineRule="atLeast"/>
        <w:ind w:left="0" w:right="0" w:firstLine="640" w:firstLineChars="200"/>
        <w:jc w:val="left"/>
      </w:pPr>
      <w:r>
        <w:rPr>
          <w:rFonts w:hint="eastAsia" w:ascii="仿宋" w:hAnsi="仿宋" w:eastAsia="仿宋" w:cs="Calibri"/>
          <w:color w:val="333333"/>
          <w:kern w:val="0"/>
          <w:sz w:val="32"/>
          <w:szCs w:val="32"/>
          <w:shd w:val="clear" w:fill="FFFFFF"/>
          <w:lang w:val="en-US" w:eastAsia="zh-CN" w:bidi="ar"/>
        </w:rPr>
        <w:t xml:space="preserve"> </w:t>
      </w:r>
      <w:r>
        <w:rPr>
          <w:rFonts w:hint="eastAsia" w:ascii="仿宋" w:hAnsi="仿宋" w:eastAsia="仿宋" w:cs="仿宋"/>
          <w:color w:val="333333"/>
          <w:kern w:val="0"/>
          <w:sz w:val="32"/>
          <w:szCs w:val="32"/>
          <w:shd w:val="clear" w:fill="FFFFFF"/>
          <w:lang w:val="en-US" w:eastAsia="zh-CN" w:bidi="ar"/>
        </w:rPr>
        <w:t>根据宿组字〔</w:t>
      </w:r>
      <w:r>
        <w:rPr>
          <w:rFonts w:hint="eastAsia" w:ascii="仿宋" w:hAnsi="仿宋" w:eastAsia="仿宋" w:cs="Calibri"/>
          <w:color w:val="333333"/>
          <w:kern w:val="0"/>
          <w:sz w:val="32"/>
          <w:szCs w:val="32"/>
          <w:shd w:val="clear" w:fill="FFFFFF"/>
          <w:lang w:val="en-US" w:eastAsia="zh-CN" w:bidi="ar"/>
        </w:rPr>
        <w:t>2007〕111号文件和宿组字〔2011〕93号文件规定，贸促会为参公单位，人员为参公人员。根据宿编〔2012〕57号文件规定，贸促会由市政管理，与商务局合署，单独核定编制3名，常务副会长一名（由正处级干部担任）。</w:t>
      </w:r>
      <w:r>
        <w:rPr>
          <w:rFonts w:hint="eastAsia" w:ascii="仿宋" w:hAnsi="仿宋" w:eastAsia="仿宋" w:cs="仿宋"/>
          <w:color w:val="000000"/>
          <w:kern w:val="0"/>
          <w:sz w:val="32"/>
          <w:szCs w:val="32"/>
          <w:shd w:val="clear" w:fill="FFFFFF"/>
          <w:lang w:val="en-US" w:eastAsia="zh-CN" w:bidi="ar"/>
        </w:rPr>
        <w:t>贸促会的主要职能是</w:t>
      </w:r>
      <w:r>
        <w:rPr>
          <w:rFonts w:hint="eastAsia" w:ascii="仿宋" w:hAnsi="仿宋" w:eastAsia="仿宋" w:cs="Calibri"/>
          <w:color w:val="000000"/>
          <w:kern w:val="0"/>
          <w:sz w:val="32"/>
          <w:szCs w:val="32"/>
          <w:shd w:val="clear" w:fill="FFFFFF"/>
          <w:lang w:val="en-US" w:eastAsia="zh-CN" w:bidi="ar"/>
        </w:rPr>
        <w:t>:围绕中心工作，服务于外交和外经贸大局，促进国际贸易、促进利用外资、促进企业国际化经营、促进经济合作，简而言之，就是“四促”。</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二、机构设置</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从决算单位构成看，宿州市</w:t>
      </w:r>
      <w:r>
        <w:rPr>
          <w:rFonts w:hint="eastAsia" w:ascii="仿宋" w:hAnsi="仿宋" w:eastAsia="仿宋" w:cs="仿宋"/>
          <w:color w:val="333333"/>
          <w:kern w:val="0"/>
          <w:sz w:val="32"/>
          <w:szCs w:val="32"/>
          <w:lang w:val="en-US" w:eastAsia="zh-CN" w:bidi="ar"/>
        </w:rPr>
        <w:t>贸促会</w:t>
      </w:r>
      <w:r>
        <w:rPr>
          <w:rFonts w:hint="eastAsia" w:ascii="仿宋" w:hAnsi="仿宋" w:eastAsia="仿宋" w:cs="仿宋"/>
          <w:kern w:val="2"/>
          <w:sz w:val="32"/>
          <w:szCs w:val="32"/>
          <w:lang w:val="en-US" w:eastAsia="zh-CN" w:bidi="ar"/>
        </w:rPr>
        <w:t>2018年度部门决算包括：市</w:t>
      </w:r>
      <w:r>
        <w:rPr>
          <w:rFonts w:hint="eastAsia" w:ascii="仿宋" w:hAnsi="仿宋" w:eastAsia="仿宋" w:cs="仿宋"/>
          <w:color w:val="333333"/>
          <w:kern w:val="0"/>
          <w:sz w:val="32"/>
          <w:szCs w:val="32"/>
          <w:lang w:val="en-US" w:eastAsia="zh-CN" w:bidi="ar"/>
        </w:rPr>
        <w:t>贸促会</w:t>
      </w:r>
      <w:r>
        <w:rPr>
          <w:rFonts w:hint="eastAsia" w:ascii="仿宋" w:hAnsi="仿宋" w:eastAsia="仿宋" w:cs="仿宋"/>
          <w:kern w:val="2"/>
          <w:sz w:val="32"/>
          <w:szCs w:val="32"/>
          <w:lang w:val="en-US" w:eastAsia="zh-CN" w:bidi="ar"/>
        </w:rPr>
        <w:t>本级决算，与预算比较，无变化。</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纳入宿州市贸促会2018年度部门决算编制范围的二级单位共1个，详细情况见下表：</w:t>
      </w:r>
    </w:p>
    <w:tbl>
      <w:tblPr>
        <w:tblW w:w="7226" w:type="dxa"/>
        <w:tblInd w:w="828" w:type="dxa"/>
        <w:shd w:val="clear"/>
        <w:tblLayout w:type="fixed"/>
        <w:tblCellMar>
          <w:top w:w="0" w:type="dxa"/>
          <w:left w:w="0" w:type="dxa"/>
          <w:bottom w:w="0" w:type="dxa"/>
          <w:right w:w="0" w:type="dxa"/>
        </w:tblCellMar>
      </w:tblPr>
      <w:tblGrid>
        <w:gridCol w:w="1389"/>
        <w:gridCol w:w="5837"/>
      </w:tblGrid>
      <w:tr>
        <w:tblPrEx>
          <w:shd w:val="clear"/>
        </w:tblPrEx>
        <w:trPr>
          <w:trHeight w:val="397" w:hRule="atLeast"/>
        </w:trPr>
        <w:tc>
          <w:tcPr>
            <w:tcW w:w="13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2"/>
                <w:sz w:val="24"/>
                <w:szCs w:val="24"/>
                <w:bdr w:val="none" w:color="auto" w:sz="0" w:space="0"/>
                <w:lang w:val="en-US" w:eastAsia="zh-CN" w:bidi="ar"/>
              </w:rPr>
              <w:t>序号</w:t>
            </w:r>
          </w:p>
        </w:tc>
        <w:tc>
          <w:tcPr>
            <w:tcW w:w="58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2"/>
                <w:sz w:val="24"/>
                <w:szCs w:val="24"/>
                <w:bdr w:val="none" w:color="auto" w:sz="0" w:space="0"/>
                <w:lang w:val="en-US" w:eastAsia="zh-CN" w:bidi="ar"/>
              </w:rPr>
              <w:t>单位名称</w:t>
            </w:r>
          </w:p>
        </w:tc>
      </w:tr>
      <w:tr>
        <w:tblPrEx>
          <w:tblCellMar>
            <w:top w:w="0" w:type="dxa"/>
            <w:left w:w="0" w:type="dxa"/>
            <w:bottom w:w="0" w:type="dxa"/>
            <w:right w:w="0" w:type="dxa"/>
          </w:tblCellMar>
        </w:tblPrEx>
        <w:trPr>
          <w:trHeight w:val="397" w:hRule="atLeast"/>
        </w:trPr>
        <w:tc>
          <w:tcPr>
            <w:tcW w:w="13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2"/>
                <w:sz w:val="24"/>
                <w:szCs w:val="24"/>
                <w:bdr w:val="none" w:color="auto" w:sz="0" w:space="0"/>
                <w:lang w:val="en-US" w:eastAsia="zh-CN" w:bidi="ar"/>
              </w:rPr>
              <w:t>1</w:t>
            </w:r>
          </w:p>
        </w:tc>
        <w:tc>
          <w:tcPr>
            <w:tcW w:w="5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bdr w:val="none" w:color="auto" w:sz="0" w:space="0"/>
                <w:lang w:val="en-US" w:eastAsia="zh-CN" w:bidi="ar"/>
              </w:rPr>
              <w:t>宿州市</w:t>
            </w:r>
            <w:r>
              <w:rPr>
                <w:rFonts w:hint="eastAsia" w:ascii="仿宋" w:hAnsi="仿宋" w:eastAsia="仿宋" w:cs="Calibri"/>
                <w:color w:val="333333"/>
                <w:kern w:val="0"/>
                <w:sz w:val="32"/>
                <w:szCs w:val="32"/>
                <w:bdr w:val="none" w:color="auto" w:sz="0" w:space="0"/>
                <w:lang w:val="en-US" w:eastAsia="zh-CN" w:bidi="ar"/>
              </w:rPr>
              <w:t>贸促会</w:t>
            </w:r>
            <w:r>
              <w:rPr>
                <w:rFonts w:hint="eastAsia" w:ascii="仿宋" w:hAnsi="仿宋" w:eastAsia="仿宋" w:cs="仿宋"/>
                <w:kern w:val="2"/>
                <w:sz w:val="32"/>
                <w:szCs w:val="32"/>
                <w:bdr w:val="none" w:color="auto" w:sz="0" w:space="0"/>
                <w:lang w:val="en-US" w:eastAsia="zh-CN" w:bidi="ar"/>
              </w:rPr>
              <w:t>本级</w:t>
            </w:r>
          </w:p>
        </w:tc>
      </w:tr>
    </w:tbl>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2"/>
          <w:sz w:val="14"/>
          <w:szCs w:val="14"/>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3" w:firstLineChars="200"/>
        <w:jc w:val="center"/>
      </w:pPr>
      <w:r>
        <w:rPr>
          <w:rFonts w:hint="eastAsia" w:ascii="楷体" w:hAnsi="楷体" w:eastAsia="楷体" w:cs="楷体"/>
          <w:b/>
          <w:bCs/>
          <w:kern w:val="2"/>
          <w:sz w:val="32"/>
          <w:szCs w:val="32"/>
          <w:lang w:val="en-US" w:eastAsia="zh-CN" w:bidi="ar"/>
        </w:rPr>
        <w:t>第二部分 宿州市</w:t>
      </w:r>
      <w:r>
        <w:rPr>
          <w:rFonts w:hint="eastAsia" w:ascii="楷体" w:hAnsi="楷体" w:eastAsia="楷体" w:cs="楷体"/>
          <w:b/>
          <w:bCs/>
          <w:color w:val="333333"/>
          <w:kern w:val="0"/>
          <w:sz w:val="32"/>
          <w:szCs w:val="32"/>
          <w:lang w:val="en-US" w:eastAsia="zh-CN" w:bidi="ar"/>
        </w:rPr>
        <w:t>贸促会</w:t>
      </w:r>
      <w:r>
        <w:rPr>
          <w:rFonts w:hint="eastAsia" w:ascii="楷体" w:hAnsi="楷体" w:eastAsia="楷体" w:cs="楷体"/>
          <w:b/>
          <w:bCs/>
          <w:kern w:val="2"/>
          <w:sz w:val="32"/>
          <w:szCs w:val="32"/>
          <w:lang w:val="en-US" w:eastAsia="zh-CN" w:bidi="ar"/>
        </w:rPr>
        <w:t>2018年度部门决算表</w:t>
      </w:r>
    </w:p>
    <w:p>
      <w:pPr>
        <w:keepNext w:val="0"/>
        <w:keepLines w:val="0"/>
        <w:widowControl/>
        <w:suppressLineNumbers w:val="0"/>
        <w:spacing w:before="0" w:beforeAutospacing="1" w:after="0" w:afterAutospacing="1"/>
        <w:ind w:left="0" w:right="0" w:firstLine="640" w:firstLineChars="200"/>
        <w:jc w:val="center"/>
      </w:pPr>
      <w:r>
        <w:rPr>
          <w:rFonts w:hint="eastAsia" w:ascii="仿宋" w:hAnsi="仿宋" w:eastAsia="仿宋" w:cs="仿宋"/>
          <w:kern w:val="2"/>
          <w:sz w:val="32"/>
          <w:szCs w:val="32"/>
          <w:lang w:val="en-US" w:eastAsia="zh-CN" w:bidi="ar"/>
        </w:rPr>
        <w:t>收入支出决算总表</w:t>
      </w:r>
    </w:p>
    <w:tbl>
      <w:tblPr>
        <w:tblW w:w="4998" w:type="pct"/>
        <w:tblInd w:w="0" w:type="dxa"/>
        <w:shd w:val="clear"/>
        <w:tblLayout w:type="autofit"/>
        <w:tblCellMar>
          <w:top w:w="15" w:type="dxa"/>
          <w:left w:w="108" w:type="dxa"/>
          <w:bottom w:w="15" w:type="dxa"/>
          <w:right w:w="108" w:type="dxa"/>
        </w:tblCellMar>
      </w:tblPr>
      <w:tblGrid>
        <w:gridCol w:w="1934"/>
        <w:gridCol w:w="1893"/>
        <w:gridCol w:w="2577"/>
        <w:gridCol w:w="290"/>
        <w:gridCol w:w="1825"/>
      </w:tblGrid>
      <w:tr>
        <w:tblPrEx>
          <w:tblCellMar>
            <w:top w:w="15" w:type="dxa"/>
            <w:left w:w="108" w:type="dxa"/>
            <w:bottom w:w="15" w:type="dxa"/>
            <w:right w:w="108" w:type="dxa"/>
          </w:tblCellMar>
        </w:tblPrEx>
        <w:trPr>
          <w:trHeight w:val="285" w:hRule="atLeast"/>
        </w:trPr>
        <w:tc>
          <w:tcPr>
            <w:tcW w:w="113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110"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512"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241"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公开01表</w:t>
            </w:r>
          </w:p>
        </w:tc>
      </w:tr>
      <w:tr>
        <w:tblPrEx>
          <w:tblCellMar>
            <w:top w:w="15" w:type="dxa"/>
            <w:left w:w="108" w:type="dxa"/>
            <w:bottom w:w="15" w:type="dxa"/>
            <w:right w:w="108" w:type="dxa"/>
          </w:tblCellMar>
        </w:tblPrEx>
        <w:trPr>
          <w:trHeight w:val="300" w:hRule="atLeast"/>
        </w:trPr>
        <w:tc>
          <w:tcPr>
            <w:tcW w:w="113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部门：市贸促会</w:t>
            </w:r>
          </w:p>
        </w:tc>
        <w:tc>
          <w:tcPr>
            <w:tcW w:w="1110"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512"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4"/>
                <w:szCs w:val="24"/>
                <w:bdr w:val="none" w:color="auto" w:sz="0" w:space="0"/>
                <w:lang w:val="en-US" w:eastAsia="zh-CN" w:bidi="ar"/>
              </w:rPr>
              <w:t> </w:t>
            </w:r>
          </w:p>
        </w:tc>
        <w:tc>
          <w:tcPr>
            <w:tcW w:w="1241" w:type="pct"/>
            <w:gridSpan w:val="2"/>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15" w:type="dxa"/>
            <w:left w:w="108" w:type="dxa"/>
            <w:bottom w:w="15" w:type="dxa"/>
            <w:right w:w="108" w:type="dxa"/>
          </w:tblCellMar>
        </w:tblPrEx>
        <w:trPr>
          <w:trHeight w:val="127" w:hRule="atLeast"/>
        </w:trPr>
        <w:tc>
          <w:tcPr>
            <w:tcW w:w="2246" w:type="pct"/>
            <w:gridSpan w:val="2"/>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收入</w:t>
            </w:r>
          </w:p>
        </w:tc>
        <w:tc>
          <w:tcPr>
            <w:tcW w:w="2753" w:type="pct"/>
            <w:gridSpan w:val="3"/>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支出</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 目</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决算数</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决算数</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firstLine="660" w:firstLineChars="300"/>
              <w:jc w:val="left"/>
            </w:pPr>
            <w:r>
              <w:rPr>
                <w:rFonts w:hint="eastAsia" w:ascii="仿宋" w:hAnsi="仿宋" w:eastAsia="仿宋" w:cs="宋体"/>
                <w:kern w:val="0"/>
                <w:sz w:val="22"/>
                <w:szCs w:val="22"/>
                <w:bdr w:val="none" w:color="auto" w:sz="0" w:space="0"/>
                <w:lang w:val="en-US" w:eastAsia="zh-CN" w:bidi="ar"/>
              </w:rPr>
              <w:t>栏 次</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一、财政拨款收入</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36.36</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一、一般公共服务支出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37.32</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二、上级补助收入</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二、外交支出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三、事业收入</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三、国防支出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四、经营收入</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四、公共安全支出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五、附属单位上缴收入</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五、教育支出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六、其他收入</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1.95</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六、科学技术支出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七、文化体育与传媒支出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八、社会保障和就业支出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3.28</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九、医疗卫生与计划生育支出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1.29</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十、节能环保支出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十一、城乡社区支出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十二、农林水支出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十三、交通运输支出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十四、资源勘探信息等支出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十五、商业服务业等支出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十六、金融支出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十七、援助其他地区支出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十八、国土海洋气象等支出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十九、住房保障支出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2.41</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二十、粮油物资储备支出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二十一、其他支出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二十二、债务还本支出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二十三、债务付息支出</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本年收入合计</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38.31</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本年支出合计</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44.3</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 xml:space="preserve"> 用事业基金弥补收支差额</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结余分配</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xml:space="preserve"> 年初结转和结余</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30.89</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 xml:space="preserve">     年末结转和结余</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24.9</w:t>
            </w:r>
          </w:p>
        </w:tc>
      </w:tr>
      <w:tr>
        <w:tblPrEx>
          <w:tblCellMar>
            <w:top w:w="15" w:type="dxa"/>
            <w:left w:w="108" w:type="dxa"/>
            <w:bottom w:w="15" w:type="dxa"/>
            <w:right w:w="108" w:type="dxa"/>
          </w:tblCellMar>
        </w:tblPrEx>
        <w:trPr>
          <w:trHeight w:val="300" w:hRule="atLeast"/>
        </w:trPr>
        <w:tc>
          <w:tcPr>
            <w:tcW w:w="1135"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总计</w:t>
            </w:r>
          </w:p>
        </w:tc>
        <w:tc>
          <w:tcPr>
            <w:tcW w:w="111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69.20</w:t>
            </w:r>
          </w:p>
        </w:tc>
        <w:tc>
          <w:tcPr>
            <w:tcW w:w="168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总计</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69.20</w:t>
            </w:r>
          </w:p>
        </w:tc>
      </w:tr>
    </w:tbl>
    <w:p>
      <w:pPr>
        <w:keepNext w:val="0"/>
        <w:keepLines w:val="0"/>
        <w:widowControl/>
        <w:suppressLineNumbers w:val="0"/>
        <w:spacing w:before="0" w:beforeAutospacing="1" w:after="0" w:afterAutospacing="1"/>
        <w:ind w:left="0" w:right="0" w:firstLine="640" w:firstLineChars="200"/>
        <w:jc w:val="center"/>
      </w:pPr>
      <w:r>
        <w:rPr>
          <w:rFonts w:hint="eastAsia" w:ascii="仿宋" w:hAnsi="仿宋" w:eastAsia="仿宋" w:cs="仿宋"/>
          <w:kern w:val="2"/>
          <w:sz w:val="32"/>
          <w:szCs w:val="32"/>
          <w:lang w:val="en-US" w:eastAsia="zh-CN" w:bidi="ar"/>
        </w:rPr>
        <w:t>收入决算表</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tbl>
      <w:tblPr>
        <w:tblW w:w="4998" w:type="pct"/>
        <w:tblInd w:w="0" w:type="dxa"/>
        <w:shd w:val="clear"/>
        <w:tblLayout w:type="autofit"/>
        <w:tblCellMar>
          <w:top w:w="15" w:type="dxa"/>
          <w:left w:w="108" w:type="dxa"/>
          <w:bottom w:w="15" w:type="dxa"/>
          <w:right w:w="108" w:type="dxa"/>
        </w:tblCellMar>
      </w:tblPr>
      <w:tblGrid>
        <w:gridCol w:w="1145"/>
        <w:gridCol w:w="1419"/>
        <w:gridCol w:w="1111"/>
        <w:gridCol w:w="822"/>
        <w:gridCol w:w="614"/>
        <w:gridCol w:w="848"/>
        <w:gridCol w:w="848"/>
        <w:gridCol w:w="1133"/>
        <w:gridCol w:w="579"/>
      </w:tblGrid>
      <w:tr>
        <w:tblPrEx>
          <w:tblCellMar>
            <w:top w:w="15" w:type="dxa"/>
            <w:left w:w="108" w:type="dxa"/>
            <w:bottom w:w="15" w:type="dxa"/>
            <w:right w:w="108" w:type="dxa"/>
          </w:tblCellMar>
        </w:tblPrEx>
        <w:trPr>
          <w:trHeight w:val="300" w:hRule="atLeast"/>
        </w:trPr>
        <w:tc>
          <w:tcPr>
            <w:tcW w:w="1506"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652"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3"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6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 </w:t>
            </w:r>
          </w:p>
        </w:tc>
        <w:tc>
          <w:tcPr>
            <w:tcW w:w="498"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497" w:type="pct"/>
            <w:gridSpan w:val="3"/>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 xml:space="preserve"> 公开02表</w:t>
            </w:r>
          </w:p>
        </w:tc>
      </w:tr>
      <w:tr>
        <w:tblPrEx>
          <w:tblCellMar>
            <w:top w:w="15" w:type="dxa"/>
            <w:left w:w="108" w:type="dxa"/>
            <w:bottom w:w="15" w:type="dxa"/>
            <w:right w:w="108" w:type="dxa"/>
          </w:tblCellMar>
        </w:tblPrEx>
        <w:trPr>
          <w:trHeight w:val="300" w:hRule="atLeast"/>
        </w:trPr>
        <w:tc>
          <w:tcPr>
            <w:tcW w:w="1506"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部门：市贸促会</w:t>
            </w:r>
          </w:p>
        </w:tc>
        <w:tc>
          <w:tcPr>
            <w:tcW w:w="652"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3"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6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 </w:t>
            </w:r>
          </w:p>
        </w:tc>
        <w:tc>
          <w:tcPr>
            <w:tcW w:w="498"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497" w:type="pct"/>
            <w:gridSpan w:val="3"/>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6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15" w:type="dxa"/>
            <w:left w:w="108" w:type="dxa"/>
            <w:bottom w:w="15" w:type="dxa"/>
            <w:right w:w="108" w:type="dxa"/>
          </w:tblCellMar>
        </w:tblPrEx>
        <w:trPr>
          <w:trHeight w:val="450" w:hRule="atLeast"/>
        </w:trPr>
        <w:tc>
          <w:tcPr>
            <w:tcW w:w="1506" w:type="pct"/>
            <w:gridSpan w:val="2"/>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w:t>
            </w:r>
          </w:p>
        </w:tc>
        <w:tc>
          <w:tcPr>
            <w:tcW w:w="652"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本年收入合计</w:t>
            </w:r>
          </w:p>
        </w:tc>
        <w:tc>
          <w:tcPr>
            <w:tcW w:w="483"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财政拨款收入</w:t>
            </w:r>
          </w:p>
        </w:tc>
        <w:tc>
          <w:tcPr>
            <w:tcW w:w="361"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上级补助收入</w:t>
            </w:r>
          </w:p>
        </w:tc>
        <w:tc>
          <w:tcPr>
            <w:tcW w:w="498"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事业</w:t>
            </w:r>
          </w:p>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收入</w:t>
            </w:r>
          </w:p>
        </w:tc>
        <w:tc>
          <w:tcPr>
            <w:tcW w:w="498"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经营</w:t>
            </w:r>
          </w:p>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收入</w:t>
            </w:r>
          </w:p>
        </w:tc>
        <w:tc>
          <w:tcPr>
            <w:tcW w:w="665"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附属单位上缴收入</w:t>
            </w:r>
          </w:p>
        </w:tc>
        <w:tc>
          <w:tcPr>
            <w:tcW w:w="333"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其他收入</w:t>
            </w:r>
          </w:p>
        </w:tc>
      </w:tr>
      <w:tr>
        <w:tblPrEx>
          <w:tblCellMar>
            <w:top w:w="15" w:type="dxa"/>
            <w:left w:w="108" w:type="dxa"/>
            <w:bottom w:w="15" w:type="dxa"/>
            <w:right w:w="108" w:type="dxa"/>
          </w:tblCellMar>
        </w:tblPrEx>
        <w:trPr>
          <w:trHeight w:val="915"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支出功能分类科目编码</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科目名称</w:t>
            </w:r>
          </w:p>
        </w:tc>
        <w:tc>
          <w:tcPr>
            <w:tcW w:w="652"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483"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361"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498"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498"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665"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333"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18"/>
                <w:szCs w:val="18"/>
                <w:bdr w:val="none" w:color="auto" w:sz="0" w:space="0"/>
                <w:lang w:val="en-US" w:eastAsia="zh-CN" w:bidi="ar"/>
              </w:rPr>
              <w:t>栏次</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18"/>
                <w:szCs w:val="18"/>
                <w:bdr w:val="none" w:color="auto" w:sz="0" w:space="0"/>
                <w:lang w:val="en-US" w:eastAsia="zh-CN" w:bidi="ar"/>
              </w:rPr>
              <w:t>合计</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8"/>
                <w:szCs w:val="18"/>
                <w:bdr w:val="none" w:color="auto" w:sz="0" w:space="0"/>
                <w:lang w:val="en-US" w:eastAsia="zh-CN" w:bidi="ar"/>
              </w:rPr>
              <w:t>38.31</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8"/>
                <w:szCs w:val="18"/>
                <w:bdr w:val="none" w:color="auto" w:sz="0" w:space="0"/>
                <w:lang w:val="en-US" w:eastAsia="zh-CN" w:bidi="ar"/>
              </w:rPr>
              <w:t>36.36</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8"/>
                <w:szCs w:val="18"/>
                <w:bdr w:val="none" w:color="auto" w:sz="0" w:space="0"/>
                <w:lang w:val="en-US" w:eastAsia="zh-CN" w:bidi="ar"/>
              </w:rPr>
              <w:t>1.95</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一般公共服务支出</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31.33</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29.38</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1.95</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20103</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政府办公厅（室）及相关机构事务</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1.94</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1.94</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2010301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行政运行</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1.94</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1.94</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20113</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商贸事务</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29.39</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27.44</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1.95</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2011301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行政运行</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21.69</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19.74</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1.95</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2011302</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一般行政管理事务</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7.70</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7.70</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社会保障和就业支出</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3.28</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3.28</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20805</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行政事业单位离退休</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3.22</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3.22</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2080505</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机关事业单位基本养老保险缴费支出</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3.22</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3.22</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20827</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财政对其他社会保险基金的补助</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0.06</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0.06</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2082703</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财政对生育保险基金的补助</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0.06</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0.06</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医疗卫生与计划生育支出</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1.29</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1.29</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21011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行政事业单位医疗</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1.29</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1.29</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2101101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行政单位医疗</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0.97</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0.97</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2101103</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公务员医疗补助</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0.32</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0.32</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住房保障支出</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2.41</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2.41</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22102</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住房改革支出</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2.41</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2.41</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2210201</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住房公积金</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1.93</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1.93</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67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2210202</w:t>
            </w:r>
          </w:p>
        </w:tc>
        <w:tc>
          <w:tcPr>
            <w:tcW w:w="83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提租补贴</w:t>
            </w:r>
          </w:p>
        </w:tc>
        <w:tc>
          <w:tcPr>
            <w:tcW w:w="65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0.48</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0.48</w:t>
            </w:r>
          </w:p>
        </w:tc>
        <w:tc>
          <w:tcPr>
            <w:tcW w:w="36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49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66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18"/>
                <w:szCs w:val="18"/>
                <w:bdr w:val="none" w:color="auto" w:sz="0" w:space="0"/>
                <w:lang w:val="en-US" w:eastAsia="zh-CN" w:bidi="ar"/>
              </w:rPr>
              <w:t> </w:t>
            </w:r>
          </w:p>
        </w:tc>
        <w:tc>
          <w:tcPr>
            <w:tcW w:w="33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8"/>
                <w:szCs w:val="18"/>
                <w:bdr w:val="none" w:color="auto" w:sz="0" w:space="0"/>
                <w:lang w:val="en-US" w:eastAsia="zh-CN" w:bidi="ar"/>
              </w:rPr>
              <w:t>0.00</w:t>
            </w:r>
          </w:p>
        </w:tc>
      </w:tr>
    </w:tbl>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center"/>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center"/>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1" w:after="0" w:afterAutospacing="1"/>
        <w:ind w:left="0" w:right="0" w:firstLine="640" w:firstLineChars="200"/>
        <w:jc w:val="center"/>
      </w:pPr>
      <w:r>
        <w:rPr>
          <w:rFonts w:hint="eastAsia" w:ascii="仿宋" w:hAnsi="仿宋" w:eastAsia="仿宋" w:cs="仿宋"/>
          <w:kern w:val="2"/>
          <w:sz w:val="32"/>
          <w:szCs w:val="32"/>
          <w:lang w:val="en-US" w:eastAsia="zh-CN" w:bidi="ar"/>
        </w:rPr>
        <w:t>支出决算表</w:t>
      </w:r>
    </w:p>
    <w:tbl>
      <w:tblPr>
        <w:tblW w:w="4997" w:type="pct"/>
        <w:tblInd w:w="0" w:type="dxa"/>
        <w:shd w:val="clear"/>
        <w:tblLayout w:type="autofit"/>
        <w:tblCellMar>
          <w:top w:w="15" w:type="dxa"/>
          <w:left w:w="108" w:type="dxa"/>
          <w:bottom w:w="15" w:type="dxa"/>
          <w:right w:w="108" w:type="dxa"/>
        </w:tblCellMar>
      </w:tblPr>
      <w:tblGrid>
        <w:gridCol w:w="619"/>
        <w:gridCol w:w="833"/>
        <w:gridCol w:w="835"/>
        <w:gridCol w:w="1152"/>
        <w:gridCol w:w="871"/>
        <w:gridCol w:w="845"/>
        <w:gridCol w:w="898"/>
        <w:gridCol w:w="743"/>
        <w:gridCol w:w="859"/>
        <w:gridCol w:w="862"/>
      </w:tblGrid>
      <w:tr>
        <w:tblPrEx>
          <w:tblCellMar>
            <w:top w:w="15" w:type="dxa"/>
            <w:left w:w="108" w:type="dxa"/>
            <w:bottom w:w="15" w:type="dxa"/>
            <w:right w:w="108" w:type="dxa"/>
          </w:tblCellMar>
        </w:tblPrEx>
        <w:trPr>
          <w:trHeight w:val="285" w:hRule="atLeast"/>
        </w:trPr>
        <w:tc>
          <w:tcPr>
            <w:tcW w:w="363"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9"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9"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67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51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96"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52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36"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09"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公开03表</w:t>
            </w:r>
          </w:p>
        </w:tc>
      </w:tr>
      <w:tr>
        <w:tblPrEx>
          <w:tblCellMar>
            <w:top w:w="15" w:type="dxa"/>
            <w:left w:w="108" w:type="dxa"/>
            <w:bottom w:w="15" w:type="dxa"/>
            <w:right w:w="108" w:type="dxa"/>
          </w:tblCellMar>
        </w:tblPrEx>
        <w:trPr>
          <w:trHeight w:val="300" w:hRule="atLeast"/>
        </w:trPr>
        <w:tc>
          <w:tcPr>
            <w:tcW w:w="852"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部门：市贸促会</w:t>
            </w:r>
          </w:p>
        </w:tc>
        <w:tc>
          <w:tcPr>
            <w:tcW w:w="489"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675"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51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96"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4"/>
                <w:szCs w:val="24"/>
                <w:bdr w:val="none" w:color="auto" w:sz="0" w:space="0"/>
                <w:lang w:val="en-US" w:eastAsia="zh-CN" w:bidi="ar"/>
              </w:rPr>
              <w:t> </w:t>
            </w:r>
          </w:p>
        </w:tc>
        <w:tc>
          <w:tcPr>
            <w:tcW w:w="52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36"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09"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15" w:type="dxa"/>
            <w:left w:w="108" w:type="dxa"/>
            <w:bottom w:w="15" w:type="dxa"/>
            <w:right w:w="108" w:type="dxa"/>
          </w:tblCellMar>
        </w:tblPrEx>
        <w:trPr>
          <w:trHeight w:val="450" w:hRule="atLeast"/>
        </w:trPr>
        <w:tc>
          <w:tcPr>
            <w:tcW w:w="2018" w:type="pct"/>
            <w:gridSpan w:val="4"/>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项目</w:t>
            </w:r>
          </w:p>
        </w:tc>
        <w:tc>
          <w:tcPr>
            <w:tcW w:w="511"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本年支出合计</w:t>
            </w:r>
          </w:p>
        </w:tc>
        <w:tc>
          <w:tcPr>
            <w:tcW w:w="496"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基本支出</w:t>
            </w:r>
          </w:p>
        </w:tc>
        <w:tc>
          <w:tcPr>
            <w:tcW w:w="527"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项目支出</w:t>
            </w:r>
          </w:p>
        </w:tc>
        <w:tc>
          <w:tcPr>
            <w:tcW w:w="436"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上缴上级支出</w:t>
            </w:r>
          </w:p>
        </w:tc>
        <w:tc>
          <w:tcPr>
            <w:tcW w:w="504"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经营支出</w:t>
            </w:r>
          </w:p>
        </w:tc>
        <w:tc>
          <w:tcPr>
            <w:tcW w:w="505" w:type="pct"/>
            <w:vMerge w:val="restart"/>
            <w:tcBorders>
              <w:top w:val="single" w:color="000000" w:sz="12"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对附属单位补助支出</w:t>
            </w:r>
          </w:p>
        </w:tc>
      </w:tr>
      <w:tr>
        <w:tblPrEx>
          <w:tblCellMar>
            <w:top w:w="15" w:type="dxa"/>
            <w:left w:w="108" w:type="dxa"/>
            <w:bottom w:w="15" w:type="dxa"/>
            <w:right w:w="108" w:type="dxa"/>
          </w:tblCellMar>
        </w:tblPrEx>
        <w:trPr>
          <w:trHeight w:val="975"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支出功能分类科目编码</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科目名称</w:t>
            </w:r>
          </w:p>
        </w:tc>
        <w:tc>
          <w:tcPr>
            <w:tcW w:w="511"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496"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527"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436"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504"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505" w:type="pct"/>
            <w:vMerge w:val="continue"/>
            <w:tcBorders>
              <w:top w:val="single" w:color="000000" w:sz="12" w:space="0"/>
              <w:left w:val="nil"/>
              <w:bottom w:val="single" w:color="000000" w:sz="4" w:space="0"/>
              <w:right w:val="single" w:color="000000" w:sz="12" w:space="0"/>
            </w:tcBorders>
            <w:shd w:val="clear"/>
            <w:vAlign w:val="center"/>
          </w:tcPr>
          <w:p>
            <w:pPr>
              <w:rPr>
                <w:rFonts w:hint="eastAsia" w:ascii="宋体"/>
                <w:sz w:val="24"/>
                <w:szCs w:val="24"/>
              </w:rPr>
            </w:pPr>
          </w:p>
        </w:tc>
      </w:tr>
      <w:tr>
        <w:tblPrEx>
          <w:tblCellMar>
            <w:top w:w="15" w:type="dxa"/>
            <w:left w:w="108" w:type="dxa"/>
            <w:bottom w:w="15" w:type="dxa"/>
            <w:right w:w="108" w:type="dxa"/>
          </w:tblCellMar>
        </w:tblPrEx>
        <w:trPr>
          <w:trHeight w:val="450" w:hRule="atLeast"/>
        </w:trPr>
        <w:tc>
          <w:tcPr>
            <w:tcW w:w="363"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类</w:t>
            </w:r>
          </w:p>
        </w:tc>
        <w:tc>
          <w:tcPr>
            <w:tcW w:w="48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款</w:t>
            </w:r>
          </w:p>
        </w:tc>
        <w:tc>
          <w:tcPr>
            <w:tcW w:w="48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项</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1"/>
                <w:szCs w:val="21"/>
                <w:bdr w:val="none" w:color="auto" w:sz="0" w:space="0"/>
                <w:lang w:val="en-US" w:eastAsia="zh-CN" w:bidi="ar"/>
              </w:rPr>
              <w:t>合计</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21"/>
                <w:szCs w:val="21"/>
                <w:bdr w:val="none" w:color="auto" w:sz="0" w:space="0"/>
                <w:lang w:val="en-US" w:eastAsia="zh-CN" w:bidi="ar"/>
              </w:rPr>
              <w:t>44.30</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21"/>
                <w:szCs w:val="21"/>
                <w:bdr w:val="none" w:color="auto" w:sz="0" w:space="0"/>
                <w:lang w:val="en-US" w:eastAsia="zh-CN" w:bidi="ar"/>
              </w:rPr>
              <w:t>44.30</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一般公共服务支出</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37.32</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37.32</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20103</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政府办公厅（室）及相关机构事务</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1.94</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1.94</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2010301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行政运行</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1.94</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1.94</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20113</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商贸事务</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35.37</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35.37</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2011301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行政运行</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27.67</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27.67</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2011302</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一般行政管理事务</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7.70</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7.70</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208</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社会保障和就业支出</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3.28</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3.28</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20805</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行政事业单位离退休</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3.22</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3.22</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2080505</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机关事业单位基本养老保险缴费支出</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3.22</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3.22</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20827</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财政对其他社会保险基金的补助</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0.06</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0.06</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2082703</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财政对生育保险基金的补助</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0.06</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0.06</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210</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医疗卫生与计划生育支出</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1.29</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1.29</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21011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行政事业单位医疗</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1.29</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1.29</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2101101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行政单位医疗</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0.97</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0.97</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2101103</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公务员医疗补助</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0.32</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0.32</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221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住房保障支出</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2.41</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2.41</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22102</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住房改革支出</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2.41</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2.41</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2210201</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住房公积金</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1.93</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1.93</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r>
        <w:tblPrEx>
          <w:tblCellMar>
            <w:top w:w="15" w:type="dxa"/>
            <w:left w:w="108" w:type="dxa"/>
            <w:bottom w:w="15" w:type="dxa"/>
            <w:right w:w="108" w:type="dxa"/>
          </w:tblCellMar>
        </w:tblPrEx>
        <w:trPr>
          <w:trHeight w:val="450" w:hRule="atLeast"/>
        </w:trPr>
        <w:tc>
          <w:tcPr>
            <w:tcW w:w="1342"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2210202</w:t>
            </w:r>
          </w:p>
        </w:tc>
        <w:tc>
          <w:tcPr>
            <w:tcW w:w="67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21"/>
                <w:szCs w:val="21"/>
                <w:bdr w:val="none" w:color="auto" w:sz="0" w:space="0"/>
                <w:lang w:val="en-US" w:eastAsia="zh-CN" w:bidi="ar"/>
              </w:rPr>
              <w:t xml:space="preserve">  提租补贴</w:t>
            </w:r>
          </w:p>
        </w:tc>
        <w:tc>
          <w:tcPr>
            <w:tcW w:w="5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0.48</w:t>
            </w:r>
          </w:p>
        </w:tc>
        <w:tc>
          <w:tcPr>
            <w:tcW w:w="49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0.48</w:t>
            </w:r>
          </w:p>
        </w:tc>
        <w:tc>
          <w:tcPr>
            <w:tcW w:w="52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43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c>
          <w:tcPr>
            <w:tcW w:w="505" w:type="pct"/>
            <w:tcBorders>
              <w:top w:val="single" w:color="000000" w:sz="4" w:space="0"/>
              <w:left w:val="nil"/>
              <w:bottom w:val="single" w:color="000000" w:sz="4" w:space="0"/>
              <w:right w:val="single" w:color="000000" w:sz="12"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1"/>
                <w:szCs w:val="21"/>
                <w:bdr w:val="none" w:color="auto" w:sz="0" w:space="0"/>
                <w:lang w:val="en-US" w:eastAsia="zh-CN" w:bidi="ar"/>
              </w:rPr>
              <w:t>0.00</w:t>
            </w:r>
          </w:p>
        </w:tc>
      </w:tr>
    </w:tbl>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center"/>
      </w:pPr>
      <w:r>
        <w:rPr>
          <w:rFonts w:hint="eastAsia" w:ascii="仿宋" w:hAnsi="仿宋" w:eastAsia="仿宋" w:cs="仿宋"/>
          <w:kern w:val="2"/>
          <w:sz w:val="32"/>
          <w:szCs w:val="32"/>
          <w:lang w:val="en-US" w:eastAsia="zh-CN" w:bidi="ar"/>
        </w:rPr>
        <w:t>财政拨款收入支出决算总表</w:t>
      </w:r>
    </w:p>
    <w:tbl>
      <w:tblPr>
        <w:tblW w:w="4999" w:type="pct"/>
        <w:tblInd w:w="0" w:type="dxa"/>
        <w:shd w:val="clear"/>
        <w:tblLayout w:type="autofit"/>
        <w:tblCellMar>
          <w:top w:w="15" w:type="dxa"/>
          <w:left w:w="108" w:type="dxa"/>
          <w:bottom w:w="15" w:type="dxa"/>
          <w:right w:w="108" w:type="dxa"/>
        </w:tblCellMar>
      </w:tblPr>
      <w:tblGrid>
        <w:gridCol w:w="2185"/>
        <w:gridCol w:w="336"/>
        <w:gridCol w:w="1798"/>
        <w:gridCol w:w="2381"/>
        <w:gridCol w:w="1820"/>
      </w:tblGrid>
      <w:tr>
        <w:tblPrEx>
          <w:tblCellMar>
            <w:top w:w="15" w:type="dxa"/>
            <w:left w:w="108" w:type="dxa"/>
            <w:bottom w:w="15" w:type="dxa"/>
            <w:right w:w="108" w:type="dxa"/>
          </w:tblCellMar>
        </w:tblPrEx>
        <w:trPr>
          <w:trHeight w:val="285" w:hRule="atLeast"/>
        </w:trPr>
        <w:tc>
          <w:tcPr>
            <w:tcW w:w="1282"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252"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39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6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公开04表</w:t>
            </w:r>
          </w:p>
        </w:tc>
      </w:tr>
      <w:tr>
        <w:tblPrEx>
          <w:tblCellMar>
            <w:top w:w="15" w:type="dxa"/>
            <w:left w:w="108" w:type="dxa"/>
            <w:bottom w:w="15" w:type="dxa"/>
            <w:right w:w="108" w:type="dxa"/>
          </w:tblCellMar>
        </w:tblPrEx>
        <w:trPr>
          <w:trHeight w:val="270" w:hRule="atLeast"/>
        </w:trPr>
        <w:tc>
          <w:tcPr>
            <w:tcW w:w="1282"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部门：市贸促会</w:t>
            </w:r>
          </w:p>
        </w:tc>
        <w:tc>
          <w:tcPr>
            <w:tcW w:w="1252" w:type="pct"/>
            <w:gridSpan w:val="2"/>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 </w:t>
            </w:r>
          </w:p>
        </w:tc>
        <w:tc>
          <w:tcPr>
            <w:tcW w:w="139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67"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15" w:type="dxa"/>
            <w:left w:w="108" w:type="dxa"/>
            <w:bottom w:w="15" w:type="dxa"/>
            <w:right w:w="108" w:type="dxa"/>
          </w:tblCellMar>
        </w:tblPrEx>
        <w:trPr>
          <w:trHeight w:val="300" w:hRule="atLeast"/>
        </w:trPr>
        <w:tc>
          <w:tcPr>
            <w:tcW w:w="2534" w:type="pct"/>
            <w:gridSpan w:val="3"/>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收入</w:t>
            </w:r>
          </w:p>
        </w:tc>
        <w:tc>
          <w:tcPr>
            <w:tcW w:w="2465" w:type="pct"/>
            <w:gridSpan w:val="2"/>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支出</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    目</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决算数</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项目（按功能分类）</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决算数</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一、一般公共预算财政拨款</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36.36</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一、一般公共服务支出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27.79</w:t>
            </w:r>
          </w:p>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二、政府性基金预算财政拨款</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0.00</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二、外交支出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三、国防支出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四、公共安全支出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五、教育支出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六、科学技术支出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七、文化体育与传媒支出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八、社会保障和就业支出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3.28</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九、医疗卫生与计划生育支出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1.29</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十、节能环保支出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十一、城乡社区支出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十二、农林水支出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十三、交通运输支出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十四、资源勘探信息等支出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十五、商业服务业等支出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十六、金融支出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十七、援助其他地区支出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十八、国土海洋气象等支出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十九、住房保障支出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2.41</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二十、粮油物资储备支出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二十一、其他支出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二十二、债务还本支出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二十三、债务付息支出</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本年收入合计</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36.36</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本年支出合计</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34.77</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年初财政拨款结转和结余</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2.12</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年末财政拨款结转和结余</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3.71</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一般公共预算财政拨款</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22"/>
                <w:szCs w:val="22"/>
                <w:bdr w:val="none" w:color="auto" w:sz="0" w:space="0"/>
                <w:lang w:val="en-US" w:eastAsia="zh-CN" w:bidi="ar"/>
              </w:rPr>
              <w:t>2.12</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 </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政府性基金预算财政拨款</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0</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 </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1479"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合计</w:t>
            </w:r>
          </w:p>
        </w:tc>
        <w:tc>
          <w:tcPr>
            <w:tcW w:w="105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38.48</w:t>
            </w:r>
          </w:p>
        </w:tc>
        <w:tc>
          <w:tcPr>
            <w:tcW w:w="13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b/>
                <w:bCs/>
                <w:kern w:val="0"/>
                <w:sz w:val="22"/>
                <w:szCs w:val="22"/>
                <w:bdr w:val="none" w:color="auto" w:sz="0" w:space="0"/>
                <w:lang w:val="en-US" w:eastAsia="zh-CN" w:bidi="ar"/>
              </w:rPr>
              <w:t>合计</w:t>
            </w:r>
          </w:p>
        </w:tc>
        <w:tc>
          <w:tcPr>
            <w:tcW w:w="106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38.48</w:t>
            </w:r>
          </w:p>
        </w:tc>
      </w:tr>
    </w:tbl>
    <w:p>
      <w:pPr>
        <w:keepNext w:val="0"/>
        <w:keepLines w:val="0"/>
        <w:widowControl/>
        <w:suppressLineNumbers w:val="0"/>
        <w:spacing w:before="0" w:beforeAutospacing="1" w:after="0" w:afterAutospacing="1"/>
        <w:ind w:left="0" w:right="0" w:firstLine="640" w:firstLineChars="200"/>
        <w:jc w:val="center"/>
      </w:pPr>
      <w:r>
        <w:rPr>
          <w:rFonts w:hint="eastAsia" w:ascii="仿宋" w:hAnsi="仿宋" w:eastAsia="仿宋" w:cs="仿宋"/>
          <w:kern w:val="2"/>
          <w:sz w:val="32"/>
          <w:szCs w:val="32"/>
          <w:lang w:val="en-US" w:eastAsia="zh-CN" w:bidi="ar"/>
        </w:rPr>
        <w:t>一般公共预算财政拨款收入支出决算表</w:t>
      </w:r>
    </w:p>
    <w:tbl>
      <w:tblPr>
        <w:tblW w:w="4995" w:type="pct"/>
        <w:tblInd w:w="0" w:type="dxa"/>
        <w:shd w:val="clear"/>
        <w:tblLayout w:type="autofit"/>
        <w:tblCellMar>
          <w:top w:w="15" w:type="dxa"/>
          <w:left w:w="108" w:type="dxa"/>
          <w:bottom w:w="15" w:type="dxa"/>
          <w:right w:w="108" w:type="dxa"/>
        </w:tblCellMar>
      </w:tblPr>
      <w:tblGrid>
        <w:gridCol w:w="592"/>
        <w:gridCol w:w="254"/>
        <w:gridCol w:w="406"/>
        <w:gridCol w:w="272"/>
        <w:gridCol w:w="502"/>
        <w:gridCol w:w="479"/>
        <w:gridCol w:w="479"/>
        <w:gridCol w:w="479"/>
        <w:gridCol w:w="544"/>
        <w:gridCol w:w="544"/>
        <w:gridCol w:w="479"/>
        <w:gridCol w:w="544"/>
        <w:gridCol w:w="544"/>
        <w:gridCol w:w="479"/>
        <w:gridCol w:w="479"/>
        <w:gridCol w:w="479"/>
        <w:gridCol w:w="479"/>
        <w:gridCol w:w="479"/>
      </w:tblGrid>
      <w:tr>
        <w:tblPrEx>
          <w:tblCellMar>
            <w:top w:w="15" w:type="dxa"/>
            <w:left w:w="108" w:type="dxa"/>
            <w:bottom w:w="15" w:type="dxa"/>
            <w:right w:w="108" w:type="dxa"/>
          </w:tblCellMar>
        </w:tblPrEx>
        <w:trPr>
          <w:trHeight w:val="410" w:hRule="atLeast"/>
        </w:trPr>
        <w:tc>
          <w:tcPr>
            <w:tcW w:w="31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29"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38"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49"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9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24"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3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84"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4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84"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4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5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46"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1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937" w:type="pct"/>
            <w:gridSpan w:val="3"/>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公开05表</w:t>
            </w:r>
          </w:p>
        </w:tc>
      </w:tr>
      <w:tr>
        <w:tblPrEx>
          <w:tblCellMar>
            <w:top w:w="15" w:type="dxa"/>
            <w:left w:w="108" w:type="dxa"/>
            <w:bottom w:w="15" w:type="dxa"/>
            <w:right w:w="108" w:type="dxa"/>
          </w:tblCellMar>
        </w:tblPrEx>
        <w:trPr>
          <w:trHeight w:val="513" w:hRule="atLeast"/>
        </w:trPr>
        <w:tc>
          <w:tcPr>
            <w:tcW w:w="746" w:type="pct"/>
            <w:gridSpan w:val="3"/>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部门：市贸促会</w:t>
            </w:r>
          </w:p>
        </w:tc>
        <w:tc>
          <w:tcPr>
            <w:tcW w:w="138"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49"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97"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24"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37"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84"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45"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84"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45"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51"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246" w:type="pct"/>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11"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937" w:type="pct"/>
            <w:gridSpan w:val="3"/>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15" w:type="dxa"/>
            <w:left w:w="108" w:type="dxa"/>
            <w:bottom w:w="15" w:type="dxa"/>
            <w:right w:w="108" w:type="dxa"/>
          </w:tblCellMar>
        </w:tblPrEx>
        <w:trPr>
          <w:trHeight w:val="890" w:hRule="atLeast"/>
        </w:trPr>
        <w:tc>
          <w:tcPr>
            <w:tcW w:w="453" w:type="pct"/>
            <w:gridSpan w:val="2"/>
            <w:vMerge w:val="restart"/>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科目编码</w:t>
            </w:r>
          </w:p>
        </w:tc>
        <w:tc>
          <w:tcPr>
            <w:tcW w:w="780" w:type="pct"/>
            <w:gridSpan w:val="3"/>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科目名称</w:t>
            </w:r>
          </w:p>
        </w:tc>
        <w:tc>
          <w:tcPr>
            <w:tcW w:w="958" w:type="pct"/>
            <w:gridSpan w:val="3"/>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年初结转和结余</w:t>
            </w:r>
          </w:p>
        </w:tc>
        <w:tc>
          <w:tcPr>
            <w:tcW w:w="815" w:type="pct"/>
            <w:gridSpan w:val="3"/>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本年收入</w:t>
            </w:r>
          </w:p>
        </w:tc>
        <w:tc>
          <w:tcPr>
            <w:tcW w:w="743" w:type="pct"/>
            <w:gridSpan w:val="3"/>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本年支出</w:t>
            </w:r>
          </w:p>
        </w:tc>
        <w:tc>
          <w:tcPr>
            <w:tcW w:w="1248" w:type="pct"/>
            <w:gridSpan w:val="4"/>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年末结转和结余</w:t>
            </w:r>
          </w:p>
        </w:tc>
      </w:tr>
      <w:tr>
        <w:tblPrEx>
          <w:tblCellMar>
            <w:top w:w="15" w:type="dxa"/>
            <w:left w:w="108" w:type="dxa"/>
            <w:bottom w:w="15" w:type="dxa"/>
            <w:right w:w="108" w:type="dxa"/>
          </w:tblCellMar>
        </w:tblPrEx>
        <w:trPr>
          <w:trHeight w:val="342" w:hRule="atLeast"/>
        </w:trPr>
        <w:tc>
          <w:tcPr>
            <w:tcW w:w="453" w:type="pct"/>
            <w:gridSpan w:val="2"/>
            <w:vMerge w:val="continue"/>
            <w:tcBorders>
              <w:top w:val="single" w:color="000000" w:sz="12" w:space="0"/>
              <w:left w:val="single" w:color="000000" w:sz="12" w:space="0"/>
              <w:bottom w:val="single" w:color="000000" w:sz="4" w:space="0"/>
              <w:right w:val="single" w:color="000000" w:sz="4" w:space="0"/>
            </w:tcBorders>
            <w:shd w:val="clear"/>
            <w:vAlign w:val="center"/>
          </w:tcPr>
          <w:p>
            <w:pPr>
              <w:rPr>
                <w:rFonts w:hint="eastAsia" w:ascii="宋体"/>
                <w:sz w:val="24"/>
                <w:szCs w:val="24"/>
              </w:rPr>
            </w:pPr>
          </w:p>
        </w:tc>
        <w:tc>
          <w:tcPr>
            <w:tcW w:w="780" w:type="pct"/>
            <w:gridSpan w:val="3"/>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297"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合计</w:t>
            </w:r>
          </w:p>
        </w:tc>
        <w:tc>
          <w:tcPr>
            <w:tcW w:w="324"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基本支出结转</w:t>
            </w:r>
          </w:p>
        </w:tc>
        <w:tc>
          <w:tcPr>
            <w:tcW w:w="337"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项目支出结转和结余</w:t>
            </w:r>
          </w:p>
        </w:tc>
        <w:tc>
          <w:tcPr>
            <w:tcW w:w="284"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合计</w:t>
            </w:r>
          </w:p>
        </w:tc>
        <w:tc>
          <w:tcPr>
            <w:tcW w:w="245"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基本支出</w:t>
            </w:r>
          </w:p>
        </w:tc>
        <w:tc>
          <w:tcPr>
            <w:tcW w:w="284"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w:t>
            </w:r>
          </w:p>
        </w:tc>
        <w:tc>
          <w:tcPr>
            <w:tcW w:w="245"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合计</w:t>
            </w:r>
          </w:p>
        </w:tc>
        <w:tc>
          <w:tcPr>
            <w:tcW w:w="251"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基本支出</w:t>
            </w:r>
          </w:p>
        </w:tc>
        <w:tc>
          <w:tcPr>
            <w:tcW w:w="246"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w:t>
            </w:r>
          </w:p>
        </w:tc>
        <w:tc>
          <w:tcPr>
            <w:tcW w:w="311"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合计</w:t>
            </w:r>
          </w:p>
        </w:tc>
        <w:tc>
          <w:tcPr>
            <w:tcW w:w="284"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基本支出结转</w:t>
            </w:r>
          </w:p>
        </w:tc>
        <w:tc>
          <w:tcPr>
            <w:tcW w:w="652"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项目支出结转和结余</w:t>
            </w:r>
          </w:p>
        </w:tc>
      </w:tr>
      <w:tr>
        <w:tblPrEx>
          <w:tblCellMar>
            <w:top w:w="15" w:type="dxa"/>
            <w:left w:w="108" w:type="dxa"/>
            <w:bottom w:w="15" w:type="dxa"/>
            <w:right w:w="108" w:type="dxa"/>
          </w:tblCellMar>
        </w:tblPrEx>
        <w:trPr>
          <w:trHeight w:val="326" w:hRule="atLeast"/>
        </w:trPr>
        <w:tc>
          <w:tcPr>
            <w:tcW w:w="453" w:type="pct"/>
            <w:gridSpan w:val="2"/>
            <w:vMerge w:val="continue"/>
            <w:tcBorders>
              <w:top w:val="single" w:color="000000" w:sz="12" w:space="0"/>
              <w:left w:val="single" w:color="000000" w:sz="12" w:space="0"/>
              <w:bottom w:val="single" w:color="000000" w:sz="4" w:space="0"/>
              <w:right w:val="single" w:color="000000" w:sz="4" w:space="0"/>
            </w:tcBorders>
            <w:shd w:val="clear"/>
            <w:vAlign w:val="center"/>
          </w:tcPr>
          <w:p>
            <w:pPr>
              <w:rPr>
                <w:rFonts w:hint="eastAsia" w:ascii="宋体"/>
                <w:sz w:val="24"/>
                <w:szCs w:val="24"/>
              </w:rPr>
            </w:pPr>
          </w:p>
        </w:tc>
        <w:tc>
          <w:tcPr>
            <w:tcW w:w="780" w:type="pct"/>
            <w:gridSpan w:val="3"/>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297"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324"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337"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84"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45"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84"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45"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51"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46"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311"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84"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78"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项目支出结转</w:t>
            </w:r>
          </w:p>
        </w:tc>
        <w:tc>
          <w:tcPr>
            <w:tcW w:w="374"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项目支出结余</w:t>
            </w:r>
          </w:p>
        </w:tc>
      </w:tr>
      <w:tr>
        <w:tblPrEx>
          <w:tblCellMar>
            <w:top w:w="15" w:type="dxa"/>
            <w:left w:w="108" w:type="dxa"/>
            <w:bottom w:w="15" w:type="dxa"/>
            <w:right w:w="108" w:type="dxa"/>
          </w:tblCellMar>
        </w:tblPrEx>
        <w:trPr>
          <w:trHeight w:val="991" w:hRule="atLeast"/>
        </w:trPr>
        <w:tc>
          <w:tcPr>
            <w:tcW w:w="453" w:type="pct"/>
            <w:gridSpan w:val="2"/>
            <w:vMerge w:val="continue"/>
            <w:tcBorders>
              <w:top w:val="single" w:color="000000" w:sz="12" w:space="0"/>
              <w:left w:val="single" w:color="000000" w:sz="12" w:space="0"/>
              <w:bottom w:val="single" w:color="000000" w:sz="4" w:space="0"/>
              <w:right w:val="single" w:color="000000" w:sz="4" w:space="0"/>
            </w:tcBorders>
            <w:shd w:val="clear"/>
            <w:vAlign w:val="center"/>
          </w:tcPr>
          <w:p>
            <w:pPr>
              <w:rPr>
                <w:rFonts w:hint="eastAsia" w:ascii="宋体"/>
                <w:sz w:val="24"/>
                <w:szCs w:val="24"/>
              </w:rPr>
            </w:pPr>
          </w:p>
        </w:tc>
        <w:tc>
          <w:tcPr>
            <w:tcW w:w="780" w:type="pct"/>
            <w:gridSpan w:val="3"/>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297"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324"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337"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84"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245"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84"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45"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51"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46"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311"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84"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c>
          <w:tcPr>
            <w:tcW w:w="278" w:type="pct"/>
            <w:vMerge w:val="continue"/>
            <w:tcBorders>
              <w:top w:val="nil"/>
              <w:left w:val="nil"/>
              <w:bottom w:val="single" w:color="000000" w:sz="4" w:space="0"/>
              <w:right w:val="single" w:color="000000" w:sz="4" w:space="0"/>
            </w:tcBorders>
            <w:shd w:val="clear"/>
            <w:vAlign w:val="center"/>
          </w:tcPr>
          <w:p>
            <w:pPr>
              <w:rPr>
                <w:rFonts w:hint="eastAsia" w:ascii="宋体"/>
                <w:sz w:val="24"/>
                <w:szCs w:val="24"/>
              </w:rPr>
            </w:pPr>
          </w:p>
        </w:tc>
        <w:tc>
          <w:tcPr>
            <w:tcW w:w="374" w:type="pct"/>
            <w:vMerge w:val="continue"/>
            <w:tcBorders>
              <w:top w:val="single" w:color="000000" w:sz="4" w:space="0"/>
              <w:left w:val="nil"/>
              <w:bottom w:val="single" w:color="000000" w:sz="4" w:space="0"/>
              <w:right w:val="single" w:color="000000" w:sz="4" w:space="0"/>
            </w:tcBorders>
            <w:shd w:val="clear"/>
            <w:vAlign w:val="center"/>
          </w:tcPr>
          <w:p>
            <w:pPr>
              <w:rPr>
                <w:rFonts w:hint="eastAsia" w:ascii="宋体"/>
                <w:sz w:val="24"/>
                <w:szCs w:val="24"/>
              </w:rPr>
            </w:pPr>
          </w:p>
        </w:tc>
      </w:tr>
      <w:tr>
        <w:tblPrEx>
          <w:tblCellMar>
            <w:top w:w="15" w:type="dxa"/>
            <w:left w:w="108" w:type="dxa"/>
            <w:bottom w:w="15" w:type="dxa"/>
            <w:right w:w="108" w:type="dxa"/>
          </w:tblCellMar>
        </w:tblPrEx>
        <w:trPr>
          <w:trHeight w:val="342"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 </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合计</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2.12</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2.12</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36.36</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36.36</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34.77</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34.77</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3.71</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3.71</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b/>
                <w:bCs/>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722"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一般公共服务支出</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2.12</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2.12</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29.38</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29.38</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27.79</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27.79</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3.71</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3.71</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10"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20103</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政府办公厅（室）及相关机构事务</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4"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2010301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行政运行</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1.94</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614"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20113</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商贸事务</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2.12</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2.12</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27.44</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27.44</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25.84</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25.84</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3.71</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3.71</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15"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2011301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行政运行</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2.12</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2.12</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19.74</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19.74</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18.15</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18.15</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3.71</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3.71</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2011302</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一般行政管理事务</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7.70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7.70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7.70</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7.70</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社会保障和就业支出</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3.28</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3.28</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3.28</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3.28</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20805</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行政事业单位离退休</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2080505</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机关事业单位基本养老保险缴费支出</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3.22</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20827</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财政对其他社会保险基金的补助</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2082703</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财政对生育保险基金的补助</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0.06</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医疗卫生与计划生育支出</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21011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行政事业单位医疗</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1.29</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2101101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行政单位医疗</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0.97</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0.97</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0.97</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0.97</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2101103</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公务员医疗补助</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0.32</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0.32</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0.32</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0.32</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住房保障支出</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22102</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住房改革支出</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2.41</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2210201</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住房公积金</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1.93</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1.93</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1.93</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1.93</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r>
        <w:tblPrEx>
          <w:tblCellMar>
            <w:top w:w="15" w:type="dxa"/>
            <w:left w:w="108" w:type="dxa"/>
            <w:bottom w:w="15" w:type="dxa"/>
            <w:right w:w="108" w:type="dxa"/>
          </w:tblCellMar>
        </w:tblPrEx>
        <w:trPr>
          <w:trHeight w:val="927" w:hRule="atLeast"/>
        </w:trPr>
        <w:tc>
          <w:tcPr>
            <w:tcW w:w="453" w:type="pct"/>
            <w:gridSpan w:val="2"/>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2210202</w:t>
            </w:r>
          </w:p>
        </w:tc>
        <w:tc>
          <w:tcPr>
            <w:tcW w:w="780"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color w:val="000000"/>
                <w:kern w:val="2"/>
                <w:sz w:val="18"/>
                <w:szCs w:val="18"/>
                <w:bdr w:val="none" w:color="auto" w:sz="0" w:space="0"/>
                <w:lang w:val="en-US" w:eastAsia="zh-CN" w:bidi="ar"/>
              </w:rPr>
              <w:t xml:space="preserve">  提租补贴</w:t>
            </w:r>
          </w:p>
        </w:tc>
        <w:tc>
          <w:tcPr>
            <w:tcW w:w="2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2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3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0.48</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0.48</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4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0.48</w:t>
            </w:r>
          </w:p>
        </w:tc>
        <w:tc>
          <w:tcPr>
            <w:tcW w:w="25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0.48</w:t>
            </w:r>
          </w:p>
        </w:tc>
        <w:tc>
          <w:tcPr>
            <w:tcW w:w="246"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1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8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27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c>
          <w:tcPr>
            <w:tcW w:w="3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3"/>
                <w:szCs w:val="13"/>
                <w:bdr w:val="none" w:color="auto" w:sz="0" w:space="0"/>
                <w:lang w:val="en-US" w:eastAsia="zh-CN" w:bidi="ar"/>
              </w:rPr>
              <w:t>0.00</w:t>
            </w:r>
          </w:p>
        </w:tc>
      </w:tr>
    </w:tbl>
    <w:p>
      <w:pPr>
        <w:keepNext w:val="0"/>
        <w:keepLines w:val="0"/>
        <w:widowControl/>
        <w:suppressLineNumbers w:val="0"/>
        <w:spacing w:before="0" w:beforeAutospacing="1" w:after="0" w:afterAutospacing="1"/>
        <w:ind w:left="0" w:right="0" w:firstLine="360" w:firstLineChars="200"/>
        <w:jc w:val="left"/>
      </w:pPr>
      <w:r>
        <w:rPr>
          <w:rFonts w:hint="eastAsia" w:ascii="仿宋" w:hAnsi="仿宋" w:eastAsia="仿宋" w:cs="仿宋"/>
          <w:kern w:val="2"/>
          <w:sz w:val="18"/>
          <w:szCs w:val="18"/>
          <w:lang w:val="en-US" w:eastAsia="zh-CN" w:bidi="ar"/>
        </w:rPr>
        <w:t xml:space="preserve"> </w:t>
      </w:r>
    </w:p>
    <w:p>
      <w:pPr>
        <w:keepNext w:val="0"/>
        <w:keepLines w:val="0"/>
        <w:widowControl/>
        <w:suppressLineNumbers w:val="0"/>
        <w:spacing w:before="0" w:beforeAutospacing="1" w:after="0" w:afterAutospacing="1"/>
        <w:ind w:left="0" w:right="0" w:firstLine="360" w:firstLineChars="200"/>
        <w:jc w:val="left"/>
      </w:pPr>
      <w:r>
        <w:rPr>
          <w:rFonts w:hint="eastAsia" w:ascii="仿宋" w:hAnsi="仿宋" w:eastAsia="仿宋" w:cs="仿宋"/>
          <w:kern w:val="2"/>
          <w:sz w:val="18"/>
          <w:szCs w:val="18"/>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center"/>
      </w:pPr>
      <w:r>
        <w:rPr>
          <w:rFonts w:hint="eastAsia" w:ascii="仿宋" w:hAnsi="仿宋" w:eastAsia="仿宋" w:cs="仿宋"/>
          <w:kern w:val="2"/>
          <w:sz w:val="32"/>
          <w:szCs w:val="32"/>
          <w:lang w:val="en-US" w:eastAsia="zh-CN" w:bidi="ar"/>
        </w:rPr>
        <w:t>一般公共预算财政拨款基本支出决算表</w:t>
      </w:r>
    </w:p>
    <w:tbl>
      <w:tblPr>
        <w:tblW w:w="4997" w:type="pct"/>
        <w:tblInd w:w="0" w:type="dxa"/>
        <w:shd w:val="clear"/>
        <w:tblLayout w:type="autofit"/>
        <w:tblCellMar>
          <w:top w:w="0" w:type="dxa"/>
          <w:left w:w="108" w:type="dxa"/>
          <w:bottom w:w="0" w:type="dxa"/>
          <w:right w:w="108" w:type="dxa"/>
        </w:tblCellMar>
      </w:tblPr>
      <w:tblGrid>
        <w:gridCol w:w="666"/>
        <w:gridCol w:w="1386"/>
        <w:gridCol w:w="989"/>
        <w:gridCol w:w="666"/>
        <w:gridCol w:w="1022"/>
        <w:gridCol w:w="787"/>
        <w:gridCol w:w="667"/>
        <w:gridCol w:w="1462"/>
        <w:gridCol w:w="872"/>
      </w:tblGrid>
      <w:tr>
        <w:tblPrEx>
          <w:shd w:val="clear"/>
          <w:tblCellMar>
            <w:top w:w="0" w:type="dxa"/>
            <w:left w:w="108" w:type="dxa"/>
            <w:bottom w:w="0" w:type="dxa"/>
            <w:right w:w="108" w:type="dxa"/>
          </w:tblCellMar>
        </w:tblPrEx>
        <w:trPr>
          <w:trHeight w:val="229" w:hRule="atLeast"/>
        </w:trPr>
        <w:tc>
          <w:tcPr>
            <w:tcW w:w="334"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　</w:t>
            </w:r>
          </w:p>
        </w:tc>
        <w:tc>
          <w:tcPr>
            <w:tcW w:w="841"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　</w:t>
            </w:r>
          </w:p>
        </w:tc>
        <w:tc>
          <w:tcPr>
            <w:tcW w:w="609"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　</w:t>
            </w:r>
          </w:p>
        </w:tc>
        <w:tc>
          <w:tcPr>
            <w:tcW w:w="334"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628"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90"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34" w:type="pct"/>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425" w:type="pct"/>
            <w:gridSpan w:val="2"/>
            <w:tcBorders>
              <w:top w:val="nil"/>
              <w:left w:val="nil"/>
              <w:bottom w:val="nil"/>
              <w:right w:val="nil"/>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p>
            <w:pPr>
              <w:keepNext w:val="0"/>
              <w:keepLines w:val="0"/>
              <w:widowControl/>
              <w:suppressLineNumbers w:val="0"/>
              <w:spacing w:before="0" w:beforeAutospacing="1" w:after="0" w:afterAutospacing="1"/>
              <w:ind w:left="0" w:right="97"/>
              <w:jc w:val="right"/>
            </w:pPr>
            <w:r>
              <w:rPr>
                <w:rFonts w:hint="eastAsia" w:ascii="仿宋" w:hAnsi="仿宋" w:eastAsia="仿宋" w:cs="宋体"/>
                <w:kern w:val="0"/>
                <w:sz w:val="20"/>
                <w:szCs w:val="20"/>
                <w:bdr w:val="none" w:color="auto" w:sz="0" w:space="0"/>
                <w:lang w:val="en-US" w:eastAsia="zh-CN" w:bidi="ar"/>
              </w:rPr>
              <w:t>公开06表</w:t>
            </w:r>
          </w:p>
        </w:tc>
      </w:tr>
      <w:tr>
        <w:tblPrEx>
          <w:tblCellMar>
            <w:top w:w="0" w:type="dxa"/>
            <w:left w:w="108" w:type="dxa"/>
            <w:bottom w:w="0" w:type="dxa"/>
            <w:right w:w="108" w:type="dxa"/>
          </w:tblCellMar>
        </w:tblPrEx>
        <w:trPr>
          <w:trHeight w:val="245" w:hRule="atLeast"/>
        </w:trPr>
        <w:tc>
          <w:tcPr>
            <w:tcW w:w="1176" w:type="pct"/>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kern w:val="0"/>
                <w:sz w:val="20"/>
                <w:szCs w:val="20"/>
                <w:bdr w:val="none" w:color="auto" w:sz="0" w:space="0"/>
                <w:lang w:val="en-US" w:eastAsia="zh-CN" w:bidi="ar"/>
              </w:rPr>
              <w:t>部门：</w:t>
            </w:r>
            <w:r>
              <w:rPr>
                <w:rFonts w:hint="eastAsia" w:ascii="仿宋" w:hAnsi="仿宋" w:eastAsia="仿宋" w:cs="宋体"/>
                <w:kern w:val="0"/>
                <w:sz w:val="20"/>
                <w:szCs w:val="20"/>
                <w:bdr w:val="none" w:color="auto" w:sz="0" w:space="0"/>
                <w:lang w:val="en-US" w:eastAsia="zh-CN" w:bidi="ar"/>
              </w:rPr>
              <w:t>市贸促会</w:t>
            </w:r>
          </w:p>
        </w:tc>
        <w:tc>
          <w:tcPr>
            <w:tcW w:w="609"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kern w:val="0"/>
                <w:sz w:val="20"/>
                <w:szCs w:val="20"/>
                <w:bdr w:val="none" w:color="auto" w:sz="0" w:space="0"/>
                <w:lang w:val="en-US" w:eastAsia="zh-CN" w:bidi="ar"/>
              </w:rPr>
              <w:t> </w:t>
            </w:r>
          </w:p>
        </w:tc>
        <w:tc>
          <w:tcPr>
            <w:tcW w:w="334"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kern w:val="0"/>
                <w:sz w:val="20"/>
                <w:szCs w:val="20"/>
                <w:bdr w:val="none" w:color="auto" w:sz="0" w:space="0"/>
                <w:lang w:val="en-US" w:eastAsia="zh-CN" w:bidi="ar"/>
              </w:rPr>
              <w:t> </w:t>
            </w:r>
          </w:p>
        </w:tc>
        <w:tc>
          <w:tcPr>
            <w:tcW w:w="628"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kern w:val="0"/>
                <w:sz w:val="20"/>
                <w:szCs w:val="20"/>
                <w:bdr w:val="none" w:color="auto" w:sz="0" w:space="0"/>
                <w:lang w:val="en-US" w:eastAsia="zh-CN" w:bidi="ar"/>
              </w:rPr>
              <w:t> </w:t>
            </w:r>
          </w:p>
        </w:tc>
        <w:tc>
          <w:tcPr>
            <w:tcW w:w="490"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kern w:val="0"/>
                <w:sz w:val="20"/>
                <w:szCs w:val="20"/>
                <w:bdr w:val="none" w:color="auto" w:sz="0" w:space="0"/>
                <w:lang w:val="en-US" w:eastAsia="zh-CN" w:bidi="ar"/>
              </w:rPr>
              <w:t> </w:t>
            </w:r>
          </w:p>
        </w:tc>
        <w:tc>
          <w:tcPr>
            <w:tcW w:w="334" w:type="pct"/>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Arial"/>
                <w:kern w:val="0"/>
                <w:sz w:val="20"/>
                <w:szCs w:val="20"/>
                <w:bdr w:val="none" w:color="auto" w:sz="0" w:space="0"/>
                <w:lang w:val="en-US" w:eastAsia="zh-CN" w:bidi="ar"/>
              </w:rPr>
              <w:t> </w:t>
            </w:r>
          </w:p>
        </w:tc>
        <w:tc>
          <w:tcPr>
            <w:tcW w:w="1425" w:type="pct"/>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0" w:type="dxa"/>
            <w:left w:w="108" w:type="dxa"/>
            <w:bottom w:w="0" w:type="dxa"/>
            <w:right w:w="108" w:type="dxa"/>
          </w:tblCellMar>
        </w:tblPrEx>
        <w:trPr>
          <w:trHeight w:val="504" w:hRule="atLeast"/>
        </w:trPr>
        <w:tc>
          <w:tcPr>
            <w:tcW w:w="334" w:type="pct"/>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科目编码</w:t>
            </w:r>
          </w:p>
        </w:tc>
        <w:tc>
          <w:tcPr>
            <w:tcW w:w="841" w:type="pct"/>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科目名称</w:t>
            </w:r>
          </w:p>
        </w:tc>
        <w:tc>
          <w:tcPr>
            <w:tcW w:w="609" w:type="pct"/>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决算数</w:t>
            </w:r>
          </w:p>
        </w:tc>
        <w:tc>
          <w:tcPr>
            <w:tcW w:w="334" w:type="pct"/>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科目编码</w:t>
            </w:r>
          </w:p>
        </w:tc>
        <w:tc>
          <w:tcPr>
            <w:tcW w:w="628" w:type="pct"/>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科目名称</w:t>
            </w:r>
          </w:p>
        </w:tc>
        <w:tc>
          <w:tcPr>
            <w:tcW w:w="490" w:type="pct"/>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决算数</w:t>
            </w:r>
          </w:p>
        </w:tc>
        <w:tc>
          <w:tcPr>
            <w:tcW w:w="334" w:type="pct"/>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科目编码</w:t>
            </w:r>
          </w:p>
        </w:tc>
        <w:tc>
          <w:tcPr>
            <w:tcW w:w="884" w:type="pct"/>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科目名称</w:t>
            </w:r>
          </w:p>
        </w:tc>
        <w:tc>
          <w:tcPr>
            <w:tcW w:w="540" w:type="pct"/>
            <w:tcBorders>
              <w:top w:val="single" w:color="auto" w:sz="8" w:space="0"/>
              <w:left w:val="nil"/>
              <w:bottom w:val="single" w:color="auto" w:sz="4"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0"/>
                <w:szCs w:val="20"/>
                <w:bdr w:val="none" w:color="auto" w:sz="0" w:space="0"/>
                <w:lang w:val="en-US" w:eastAsia="zh-CN" w:bidi="ar"/>
              </w:rPr>
              <w:t>决算数</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工资福利支出</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25.30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商品和服务支出</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9.47</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资本性支出</w:t>
            </w:r>
          </w:p>
        </w:tc>
        <w:tc>
          <w:tcPr>
            <w:tcW w:w="540" w:type="pct"/>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30101</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基本工资</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17.38</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30201</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办公费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7.98</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31001</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房屋建筑物购建</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30102</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津贴补贴</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0.48</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30202</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印刷费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31002</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办公设备购置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30103</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奖金</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30203</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咨询费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31003</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专用设备购置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30106</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伙食补助费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0.40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30204</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手续费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31005</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基础设施建设</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30107</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绩效工资</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30205</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水费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31006</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大型修缮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30108</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机关事业单位基本养老保险费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3.22</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30206</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电费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31007</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信息网络及软件购置更新</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30109</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职业年金缴费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30207</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邮电费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0.50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31008</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物资储备</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30110</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职工基本医疗保险缴费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30208</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取暖费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31009</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土地补偿</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30111</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公务员医疗补助缴费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0.32</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30209</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物业管理费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31010</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安置补助</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30112</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其他社会保障缴费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1.03</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30211</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差旅费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31011</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地上附着物和青苗补偿</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30113</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住房公积金</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1.93</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30212</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因公出国（境）费用</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31012</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拆迁补偿</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30114</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医疗费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30213</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维修（护）费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31013</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公务用车购置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30199</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其他工资福利支出</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0.54</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30214</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租赁费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31019</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其他交通工具购置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对个人和家庭的补助</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30215</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会议费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0.33</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31021</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文物和陈列品购置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30301</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离休费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30216</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培训费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0.35</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31022</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无形资产购置</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30302</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退休费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30217</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公务招待费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0.31</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31099</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其他资本性支出</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30303</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退职（役）费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30218</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专用材料费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312</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对企业补助</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30304</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抚恤金</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30224</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被装购置费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31201</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资本金注入</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30305</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生活补助</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30225</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专用燃料费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31203</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政府投资基金股权投资</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30306</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救济费</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30226</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劳务费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31204</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费用补贴</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30307</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医疗费补助</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30227</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委托业务费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31205</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利息补贴</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30308</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助学金</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30228</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工会经费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31299</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其他对企业补助</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30309</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奖励金</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30229</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福利费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313</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对社会保障基金补助</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30310</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个人农业生产补贴</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30231</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公务用车运行维护费</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31302</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对社会保险基金补助</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30399</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对其他个人和家庭的补助支出</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30239</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其他交通费用</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31303</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补充全国社会保障基金</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30240</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税金及附加费用</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Arial"/>
                <w:color w:val="000000"/>
                <w:kern w:val="2"/>
                <w:sz w:val="15"/>
                <w:szCs w:val="15"/>
                <w:bdr w:val="none" w:color="auto" w:sz="0" w:space="0"/>
                <w:lang w:val="en-US" w:eastAsia="zh-CN" w:bidi="ar"/>
              </w:rPr>
              <w:t>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399</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其他支出</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30299</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其他商品和服务支出</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5"/>
                <w:szCs w:val="15"/>
                <w:bdr w:val="none" w:color="auto" w:sz="0" w:space="0"/>
                <w:lang w:val="en-US" w:eastAsia="zh-CN" w:bidi="ar"/>
              </w:rPr>
              <w:t xml:space="preserve"> 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39906</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赠与</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307</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债务利息及费用支出</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5"/>
                <w:szCs w:val="15"/>
                <w:bdr w:val="none" w:color="auto" w:sz="0" w:space="0"/>
                <w:lang w:val="en-US" w:eastAsia="zh-CN" w:bidi="ar"/>
              </w:rPr>
              <w:t xml:space="preserve"> 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39907</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国家赔偿费用支出</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30701</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国内债务付息</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5"/>
                <w:szCs w:val="15"/>
                <w:bdr w:val="none" w:color="auto" w:sz="0" w:space="0"/>
                <w:lang w:val="en-US" w:eastAsia="zh-CN" w:bidi="ar"/>
              </w:rPr>
              <w:t xml:space="preserve"> 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39908</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对民间非营利组织和群众性自治组织补贴</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30702</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国外债务付息</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5"/>
                <w:szCs w:val="15"/>
                <w:bdr w:val="none" w:color="auto" w:sz="0" w:space="0"/>
                <w:lang w:val="en-US" w:eastAsia="zh-CN" w:bidi="ar"/>
              </w:rPr>
              <w:t xml:space="preserve"> 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39999</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其他支出</w:t>
            </w:r>
          </w:p>
        </w:tc>
        <w:tc>
          <w:tcPr>
            <w:tcW w:w="540" w:type="pct"/>
            <w:tcBorders>
              <w:top w:val="nil"/>
              <w:left w:val="nil"/>
              <w:bottom w:val="single" w:color="auto" w:sz="4"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0.00</w:t>
            </w:r>
          </w:p>
        </w:tc>
      </w:tr>
      <w:tr>
        <w:tblPrEx>
          <w:tblCellMar>
            <w:top w:w="0" w:type="dxa"/>
            <w:left w:w="108" w:type="dxa"/>
            <w:bottom w:w="0" w:type="dxa"/>
            <w:right w:w="108" w:type="dxa"/>
          </w:tblCellMar>
        </w:tblPrEx>
        <w:trPr>
          <w:trHeight w:val="226" w:hRule="atLeast"/>
        </w:trPr>
        <w:tc>
          <w:tcPr>
            <w:tcW w:w="334" w:type="pc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41"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30703</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国内债务发行费用</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5"/>
                <w:szCs w:val="15"/>
                <w:bdr w:val="none" w:color="auto" w:sz="0" w:space="0"/>
                <w:lang w:val="en-US" w:eastAsia="zh-CN" w:bidi="ar"/>
              </w:rPr>
              <w:t xml:space="preserve"> 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540" w:type="pct"/>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r>
      <w:tr>
        <w:tblPrEx>
          <w:tblCellMar>
            <w:top w:w="0" w:type="dxa"/>
            <w:left w:w="108" w:type="dxa"/>
            <w:bottom w:w="0" w:type="dxa"/>
            <w:right w:w="108" w:type="dxa"/>
          </w:tblCellMar>
        </w:tblPrEx>
        <w:trPr>
          <w:trHeight w:val="226" w:hRule="atLeast"/>
        </w:trPr>
        <w:tc>
          <w:tcPr>
            <w:tcW w:w="1176" w:type="pct"/>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18"/>
                <w:szCs w:val="18"/>
                <w:bdr w:val="none" w:color="auto" w:sz="0" w:space="0"/>
                <w:lang w:val="en-US" w:eastAsia="zh-CN" w:bidi="ar"/>
              </w:rPr>
              <w:t>　</w:t>
            </w:r>
          </w:p>
        </w:tc>
        <w:tc>
          <w:tcPr>
            <w:tcW w:w="609"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30704</w:t>
            </w:r>
          </w:p>
        </w:tc>
        <w:tc>
          <w:tcPr>
            <w:tcW w:w="628"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国外债务发行费用</w:t>
            </w:r>
          </w:p>
        </w:tc>
        <w:tc>
          <w:tcPr>
            <w:tcW w:w="490"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5"/>
                <w:szCs w:val="15"/>
                <w:bdr w:val="none" w:color="auto" w:sz="0" w:space="0"/>
                <w:lang w:val="en-US" w:eastAsia="zh-CN" w:bidi="ar"/>
              </w:rPr>
              <w:t xml:space="preserve"> 0.00</w:t>
            </w:r>
          </w:p>
        </w:tc>
        <w:tc>
          <w:tcPr>
            <w:tcW w:w="33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884" w:type="pc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c>
          <w:tcPr>
            <w:tcW w:w="540" w:type="pct"/>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w:t>
            </w:r>
          </w:p>
        </w:tc>
      </w:tr>
      <w:tr>
        <w:tblPrEx>
          <w:tblCellMar>
            <w:top w:w="0" w:type="dxa"/>
            <w:left w:w="108" w:type="dxa"/>
            <w:bottom w:w="0" w:type="dxa"/>
            <w:right w:w="108" w:type="dxa"/>
          </w:tblCellMar>
        </w:tblPrEx>
        <w:trPr>
          <w:trHeight w:val="226" w:hRule="atLeast"/>
        </w:trPr>
        <w:tc>
          <w:tcPr>
            <w:tcW w:w="1176" w:type="pct"/>
            <w:gridSpan w:val="2"/>
            <w:tcBorders>
              <w:top w:val="single" w:color="auto" w:sz="4" w:space="0"/>
              <w:left w:val="single" w:color="auto" w:sz="8" w:space="0"/>
              <w:bottom w:val="single" w:color="auto" w:sz="8"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18"/>
                <w:szCs w:val="18"/>
                <w:bdr w:val="none" w:color="auto" w:sz="0" w:space="0"/>
                <w:lang w:val="en-US" w:eastAsia="zh-CN" w:bidi="ar"/>
              </w:rPr>
              <w:t>人员经费合计</w:t>
            </w:r>
          </w:p>
        </w:tc>
        <w:tc>
          <w:tcPr>
            <w:tcW w:w="609" w:type="pct"/>
            <w:tcBorders>
              <w:top w:val="nil"/>
              <w:left w:val="nil"/>
              <w:bottom w:val="single" w:color="auto" w:sz="8"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25.3</w:t>
            </w:r>
          </w:p>
        </w:tc>
        <w:tc>
          <w:tcPr>
            <w:tcW w:w="2672" w:type="pct"/>
            <w:gridSpan w:val="5"/>
            <w:tcBorders>
              <w:top w:val="single" w:color="auto" w:sz="4" w:space="0"/>
              <w:left w:val="nil"/>
              <w:bottom w:val="single" w:color="auto" w:sz="8"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18"/>
                <w:szCs w:val="18"/>
                <w:bdr w:val="none" w:color="auto" w:sz="0" w:space="0"/>
                <w:lang w:val="en-US" w:eastAsia="zh-CN" w:bidi="ar"/>
              </w:rPr>
              <w:t>公用经费合计</w:t>
            </w:r>
          </w:p>
        </w:tc>
        <w:tc>
          <w:tcPr>
            <w:tcW w:w="540" w:type="pct"/>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18"/>
                <w:szCs w:val="18"/>
                <w:bdr w:val="none" w:color="auto" w:sz="0" w:space="0"/>
                <w:lang w:val="en-US" w:eastAsia="zh-CN" w:bidi="ar"/>
              </w:rPr>
              <w:t xml:space="preserve"> 9.47</w:t>
            </w:r>
          </w:p>
        </w:tc>
      </w:tr>
    </w:tbl>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2"/>
          <w:sz w:val="32"/>
          <w:szCs w:val="32"/>
          <w:lang w:val="en-US" w:eastAsia="zh-CN" w:bidi="ar"/>
        </w:rPr>
        <w:t>政府性基金预算财政拨款收入支出决算表</w:t>
      </w:r>
    </w:p>
    <w:tbl>
      <w:tblPr>
        <w:tblW w:w="4997" w:type="pct"/>
        <w:tblInd w:w="0" w:type="dxa"/>
        <w:shd w:val="clear"/>
        <w:tblLayout w:type="autofit"/>
        <w:tblCellMar>
          <w:top w:w="15" w:type="dxa"/>
          <w:left w:w="108" w:type="dxa"/>
          <w:bottom w:w="15" w:type="dxa"/>
          <w:right w:w="108" w:type="dxa"/>
        </w:tblCellMar>
      </w:tblPr>
      <w:tblGrid>
        <w:gridCol w:w="598"/>
        <w:gridCol w:w="808"/>
        <w:gridCol w:w="527"/>
        <w:gridCol w:w="823"/>
        <w:gridCol w:w="823"/>
        <w:gridCol w:w="1048"/>
        <w:gridCol w:w="1005"/>
        <w:gridCol w:w="1017"/>
        <w:gridCol w:w="1009"/>
        <w:gridCol w:w="859"/>
      </w:tblGrid>
      <w:tr>
        <w:tblPrEx>
          <w:shd w:val="clear"/>
          <w:tblCellMar>
            <w:top w:w="15" w:type="dxa"/>
            <w:left w:w="108" w:type="dxa"/>
            <w:bottom w:w="15" w:type="dxa"/>
            <w:right w:w="108" w:type="dxa"/>
          </w:tblCellMar>
        </w:tblPrEx>
        <w:trPr>
          <w:trHeight w:val="285" w:hRule="atLeast"/>
        </w:trPr>
        <w:tc>
          <w:tcPr>
            <w:tcW w:w="351"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74"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308"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3"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3"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61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590"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597"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95"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公开07表</w:t>
            </w:r>
          </w:p>
        </w:tc>
      </w:tr>
      <w:tr>
        <w:tblPrEx>
          <w:tblCellMar>
            <w:top w:w="15" w:type="dxa"/>
            <w:left w:w="108" w:type="dxa"/>
            <w:bottom w:w="15" w:type="dxa"/>
            <w:right w:w="108" w:type="dxa"/>
          </w:tblCellMar>
        </w:tblPrEx>
        <w:trPr>
          <w:trHeight w:val="300" w:hRule="atLeast"/>
        </w:trPr>
        <w:tc>
          <w:tcPr>
            <w:tcW w:w="825"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部门：市贸促会</w:t>
            </w:r>
          </w:p>
        </w:tc>
        <w:tc>
          <w:tcPr>
            <w:tcW w:w="308"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3"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483"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615"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4"/>
                <w:szCs w:val="24"/>
                <w:bdr w:val="none" w:color="auto" w:sz="0" w:space="0"/>
                <w:lang w:val="en-US" w:eastAsia="zh-CN" w:bidi="ar"/>
              </w:rPr>
              <w:t> </w:t>
            </w:r>
          </w:p>
        </w:tc>
        <w:tc>
          <w:tcPr>
            <w:tcW w:w="590" w:type="pct"/>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597" w:type="pct"/>
            <w:tcBorders>
              <w:top w:val="nil"/>
              <w:left w:val="nil"/>
              <w:bottom w:val="single" w:color="000000" w:sz="12" w:space="0"/>
              <w:right w:val="nil"/>
            </w:tcBorders>
            <w:shd w:val="clear"/>
            <w:vAlign w:val="bottom"/>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0"/>
                <w:szCs w:val="20"/>
                <w:bdr w:val="none" w:color="auto" w:sz="0" w:space="0"/>
                <w:lang w:val="en-US" w:eastAsia="zh-CN" w:bidi="ar"/>
              </w:rPr>
              <w:t> </w:t>
            </w:r>
          </w:p>
        </w:tc>
        <w:tc>
          <w:tcPr>
            <w:tcW w:w="1095" w:type="pct"/>
            <w:gridSpan w:val="2"/>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0"/>
                <w:szCs w:val="20"/>
                <w:bdr w:val="none" w:color="auto" w:sz="0" w:space="0"/>
                <w:lang w:val="en-US" w:eastAsia="zh-CN" w:bidi="ar"/>
              </w:rPr>
              <w:t>金额单位：万元</w:t>
            </w:r>
          </w:p>
        </w:tc>
      </w:tr>
      <w:tr>
        <w:tblPrEx>
          <w:tblCellMar>
            <w:top w:w="15" w:type="dxa"/>
            <w:left w:w="108" w:type="dxa"/>
            <w:bottom w:w="15" w:type="dxa"/>
            <w:right w:w="108" w:type="dxa"/>
          </w:tblCellMar>
        </w:tblPrEx>
        <w:trPr>
          <w:trHeight w:val="300" w:hRule="atLeast"/>
        </w:trPr>
        <w:tc>
          <w:tcPr>
            <w:tcW w:w="1617" w:type="pct"/>
            <w:gridSpan w:val="4"/>
            <w:tcBorders>
              <w:top w:val="single" w:color="000000" w:sz="12"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w:t>
            </w:r>
          </w:p>
        </w:tc>
        <w:tc>
          <w:tcPr>
            <w:tcW w:w="483"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年初结转和结余</w:t>
            </w:r>
          </w:p>
        </w:tc>
        <w:tc>
          <w:tcPr>
            <w:tcW w:w="615"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本年收入</w:t>
            </w:r>
          </w:p>
        </w:tc>
        <w:tc>
          <w:tcPr>
            <w:tcW w:w="1779" w:type="pct"/>
            <w:gridSpan w:val="3"/>
            <w:tcBorders>
              <w:top w:val="single" w:color="000000" w:sz="12" w:space="0"/>
              <w:left w:val="nil"/>
              <w:bottom w:val="nil"/>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本年支出</w:t>
            </w:r>
          </w:p>
        </w:tc>
        <w:tc>
          <w:tcPr>
            <w:tcW w:w="504" w:type="pct"/>
            <w:vMerge w:val="restart"/>
            <w:tcBorders>
              <w:top w:val="single" w:color="000000" w:sz="12"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年末结转和结余</w:t>
            </w:r>
          </w:p>
        </w:tc>
      </w:tr>
      <w:tr>
        <w:tblPrEx>
          <w:tblCellMar>
            <w:top w:w="15" w:type="dxa"/>
            <w:left w:w="108" w:type="dxa"/>
            <w:bottom w:w="15" w:type="dxa"/>
            <w:right w:w="108" w:type="dxa"/>
          </w:tblCellMar>
        </w:tblPrEx>
        <w:trPr>
          <w:trHeight w:val="900" w:hRule="atLeast"/>
        </w:trPr>
        <w:tc>
          <w:tcPr>
            <w:tcW w:w="1134"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支出功能分类</w:t>
            </w:r>
          </w:p>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科目编码</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科目名称（项目）</w:t>
            </w:r>
          </w:p>
        </w:tc>
        <w:tc>
          <w:tcPr>
            <w:tcW w:w="483"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615"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小计</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 xml:space="preserve">基本支出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项目支出</w:t>
            </w:r>
          </w:p>
        </w:tc>
        <w:tc>
          <w:tcPr>
            <w:tcW w:w="504" w:type="pct"/>
            <w:vMerge w:val="continue"/>
            <w:tcBorders>
              <w:top w:val="single" w:color="000000" w:sz="12" w:space="0"/>
              <w:left w:val="nil"/>
              <w:bottom w:val="single" w:color="000000" w:sz="4" w:space="0"/>
              <w:right w:val="single" w:color="000000" w:sz="4" w:space="0"/>
            </w:tcBorders>
            <w:shd w:val="clear"/>
            <w:vAlign w:val="center"/>
          </w:tcPr>
          <w:p>
            <w:pPr>
              <w:rPr>
                <w:rFonts w:hint="eastAsia" w:ascii="宋体"/>
                <w:sz w:val="24"/>
                <w:szCs w:val="24"/>
              </w:rPr>
            </w:pPr>
          </w:p>
        </w:tc>
      </w:tr>
      <w:tr>
        <w:tblPrEx>
          <w:tblCellMar>
            <w:top w:w="15" w:type="dxa"/>
            <w:left w:w="108" w:type="dxa"/>
            <w:bottom w:w="15" w:type="dxa"/>
            <w:right w:w="108" w:type="dxa"/>
          </w:tblCellMar>
        </w:tblPrEx>
        <w:trPr>
          <w:trHeight w:val="450" w:hRule="atLeast"/>
        </w:trPr>
        <w:tc>
          <w:tcPr>
            <w:tcW w:w="351" w:type="pct"/>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类</w:t>
            </w:r>
          </w:p>
        </w:tc>
        <w:tc>
          <w:tcPr>
            <w:tcW w:w="47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款</w:t>
            </w:r>
          </w:p>
        </w:tc>
        <w:tc>
          <w:tcPr>
            <w:tcW w:w="30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项</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宋体"/>
                <w:kern w:val="0"/>
                <w:sz w:val="22"/>
                <w:szCs w:val="22"/>
                <w:bdr w:val="none" w:color="auto" w:sz="0" w:space="0"/>
                <w:lang w:val="en-US" w:eastAsia="zh-CN" w:bidi="ar"/>
              </w:rPr>
              <w:t>合计</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bookmarkStart w:id="0" w:name="_GoBack"/>
            <w:bookmarkEnd w:id="0"/>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450" w:hRule="atLeast"/>
        </w:trPr>
        <w:tc>
          <w:tcPr>
            <w:tcW w:w="1134"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450" w:hRule="atLeast"/>
        </w:trPr>
        <w:tc>
          <w:tcPr>
            <w:tcW w:w="1134"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450" w:hRule="atLeast"/>
        </w:trPr>
        <w:tc>
          <w:tcPr>
            <w:tcW w:w="1134"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450" w:hRule="atLeast"/>
        </w:trPr>
        <w:tc>
          <w:tcPr>
            <w:tcW w:w="1134"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450" w:hRule="atLeast"/>
        </w:trPr>
        <w:tc>
          <w:tcPr>
            <w:tcW w:w="1134" w:type="pct"/>
            <w:gridSpan w:val="3"/>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450" w:hRule="atLeast"/>
        </w:trPr>
        <w:tc>
          <w:tcPr>
            <w:tcW w:w="1134" w:type="pct"/>
            <w:gridSpan w:val="3"/>
            <w:tcBorders>
              <w:top w:val="single" w:color="000000" w:sz="4" w:space="0"/>
              <w:left w:val="single" w:color="000000" w:sz="12" w:space="0"/>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宋体"/>
                <w:kern w:val="0"/>
                <w:sz w:val="22"/>
                <w:szCs w:val="22"/>
                <w:bdr w:val="none" w:color="auto" w:sz="0" w:space="0"/>
                <w:lang w:val="en-US" w:eastAsia="zh-CN" w:bidi="ar"/>
              </w:rPr>
              <w:t> </w:t>
            </w:r>
          </w:p>
        </w:tc>
        <w:tc>
          <w:tcPr>
            <w:tcW w:w="483"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615"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0"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7"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91"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c>
          <w:tcPr>
            <w:tcW w:w="504" w:type="pct"/>
            <w:tcBorders>
              <w:top w:val="single" w:color="000000" w:sz="4" w:space="0"/>
              <w:left w:val="nil"/>
              <w:bottom w:val="single" w:color="000000" w:sz="12" w:space="0"/>
              <w:right w:val="single" w:color="000000" w:sz="4" w:space="0"/>
            </w:tcBorders>
            <w:shd w:val="clear"/>
            <w:vAlign w:val="center"/>
          </w:tcPr>
          <w:p>
            <w:pPr>
              <w:keepNext w:val="0"/>
              <w:keepLines w:val="0"/>
              <w:widowControl/>
              <w:suppressLineNumbers w:val="0"/>
              <w:spacing w:before="0" w:beforeAutospacing="1" w:after="0" w:afterAutospacing="1"/>
              <w:ind w:left="0" w:right="0"/>
              <w:jc w:val="right"/>
            </w:pPr>
            <w:r>
              <w:rPr>
                <w:rFonts w:hint="eastAsia" w:ascii="仿宋" w:hAnsi="仿宋" w:eastAsia="仿宋" w:cs="宋体"/>
                <w:kern w:val="0"/>
                <w:sz w:val="22"/>
                <w:szCs w:val="22"/>
                <w:bdr w:val="none" w:color="auto" w:sz="0" w:space="0"/>
                <w:lang w:val="en-US" w:eastAsia="zh-CN" w:bidi="ar"/>
              </w:rPr>
              <w:t> </w:t>
            </w:r>
          </w:p>
        </w:tc>
      </w:tr>
    </w:tbl>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市贸促会没有政府性基金收入，也没有使用政府性基金安排的支出，故本表无数据。</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3" w:firstLineChars="200"/>
        <w:jc w:val="center"/>
      </w:pPr>
      <w:r>
        <w:rPr>
          <w:rFonts w:hint="eastAsia" w:ascii="楷体" w:hAnsi="楷体" w:eastAsia="楷体" w:cs="楷体"/>
          <w:b/>
          <w:bCs/>
          <w:kern w:val="2"/>
          <w:sz w:val="32"/>
          <w:szCs w:val="32"/>
          <w:lang w:val="en-US" w:eastAsia="zh-CN" w:bidi="ar"/>
        </w:rPr>
        <w:t>第三部分 宿州市</w:t>
      </w:r>
      <w:r>
        <w:rPr>
          <w:rFonts w:hint="eastAsia" w:ascii="楷体" w:hAnsi="楷体" w:eastAsia="楷体" w:cs="楷体"/>
          <w:b/>
          <w:bCs/>
          <w:color w:val="333333"/>
          <w:kern w:val="0"/>
          <w:sz w:val="32"/>
          <w:szCs w:val="32"/>
          <w:lang w:val="en-US" w:eastAsia="zh-CN" w:bidi="ar"/>
        </w:rPr>
        <w:t>贸促会</w:t>
      </w:r>
      <w:r>
        <w:rPr>
          <w:rFonts w:hint="eastAsia" w:ascii="楷体" w:hAnsi="楷体" w:eastAsia="楷体" w:cs="楷体"/>
          <w:b/>
          <w:bCs/>
          <w:kern w:val="2"/>
          <w:sz w:val="32"/>
          <w:szCs w:val="32"/>
          <w:lang w:val="en-US" w:eastAsia="zh-CN" w:bidi="ar"/>
        </w:rPr>
        <w:t>2018年度部门决算情况说明</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 xml:space="preserve"> </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一、收入支出决算总体情况说明</w:t>
      </w:r>
    </w:p>
    <w:p>
      <w:pPr>
        <w:pStyle w:val="2"/>
        <w:keepNext w:val="0"/>
        <w:keepLines w:val="0"/>
        <w:widowControl/>
        <w:suppressLineNumbers w:val="0"/>
        <w:adjustRightInd w:val="0"/>
        <w:snapToGrid w:val="0"/>
        <w:spacing w:before="0" w:beforeAutospacing="0" w:after="0" w:afterAutospacing="0" w:line="600" w:lineRule="exact"/>
        <w:ind w:left="0" w:right="0" w:firstLine="640" w:firstLineChars="200"/>
      </w:pPr>
      <w:r>
        <w:rPr>
          <w:rFonts w:hint="eastAsia" w:ascii="仿宋" w:hAnsi="仿宋" w:eastAsia="仿宋" w:cs="宋体"/>
          <w:kern w:val="0"/>
          <w:sz w:val="32"/>
          <w:szCs w:val="32"/>
        </w:rPr>
        <w:t>2018年度收入总计69.20万元（含用事业基金弥补收支差额、年初结转和结余）、支出总计69.20万元（含结余分配、年末结转和结余）。与2017年相比，收、支总计各减少15.44万元，下降22%，主要原因：一是</w:t>
      </w:r>
      <w:r>
        <w:rPr>
          <w:rFonts w:hint="eastAsia" w:ascii="仿宋" w:hAnsi="仿宋" w:eastAsia="仿宋" w:cs="仿宋"/>
          <w:kern w:val="2"/>
          <w:sz w:val="32"/>
          <w:szCs w:val="32"/>
        </w:rPr>
        <w:t>年度结余大幅减少</w:t>
      </w:r>
      <w:r>
        <w:rPr>
          <w:rFonts w:hint="eastAsia" w:ascii="仿宋" w:hAnsi="仿宋" w:eastAsia="仿宋" w:cs="仿宋"/>
          <w:kern w:val="0"/>
          <w:sz w:val="32"/>
          <w:szCs w:val="32"/>
        </w:rPr>
        <w:t>；二是</w:t>
      </w:r>
      <w:r>
        <w:rPr>
          <w:rFonts w:hint="eastAsia" w:ascii="仿宋" w:hAnsi="仿宋" w:eastAsia="仿宋" w:cs="仿宋"/>
          <w:color w:val="000000"/>
          <w:kern w:val="0"/>
          <w:sz w:val="32"/>
          <w:szCs w:val="32"/>
          <w:shd w:val="clear" w:fill="FFFFFF"/>
        </w:rPr>
        <w:t>认真贯彻落实中央八项规定精神，严格控制各项支出。</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二、收入决算情况说明</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2018年度收入合计38.31万元，其中：财政拨款收入36.36万元，占95%，其他收入1.95万元，占5%。</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三、支出决算情况说明</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2018年度支出合计44.30万元，其中：基本支出44.3万元，占100%。</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四、财政拨款收入支出决算总体情况说明</w:t>
      </w:r>
    </w:p>
    <w:p>
      <w:pPr>
        <w:pStyle w:val="2"/>
        <w:keepNext w:val="0"/>
        <w:keepLines w:val="0"/>
        <w:widowControl/>
        <w:suppressLineNumbers w:val="0"/>
        <w:adjustRightInd w:val="0"/>
        <w:snapToGrid w:val="0"/>
        <w:spacing w:before="0" w:beforeAutospacing="0" w:after="0" w:afterAutospacing="0" w:line="600" w:lineRule="exact"/>
        <w:ind w:left="0" w:right="0" w:firstLine="640" w:firstLineChars="200"/>
      </w:pPr>
      <w:r>
        <w:rPr>
          <w:rFonts w:hint="eastAsia" w:ascii="仿宋" w:hAnsi="仿宋" w:eastAsia="仿宋" w:cs="宋体"/>
          <w:kern w:val="0"/>
          <w:sz w:val="32"/>
          <w:szCs w:val="32"/>
        </w:rPr>
        <w:t>2018年度财政拨款收入总计38.48万元（含年初财政拨款结转和结余），支出总计38.48万元（含年末财政拨款结转和结余）。与2017年相比，财政拨款收、支总计各减少2.01万元，下降5%，主要原因：一是</w:t>
      </w:r>
      <w:r>
        <w:rPr>
          <w:rFonts w:hint="eastAsia" w:ascii="仿宋" w:hAnsi="仿宋" w:eastAsia="仿宋" w:cs="仿宋"/>
          <w:kern w:val="2"/>
          <w:sz w:val="32"/>
          <w:szCs w:val="32"/>
        </w:rPr>
        <w:t>年度结余大幅减少</w:t>
      </w:r>
      <w:r>
        <w:rPr>
          <w:rFonts w:hint="eastAsia" w:ascii="仿宋" w:hAnsi="仿宋" w:eastAsia="仿宋" w:cs="仿宋"/>
          <w:kern w:val="0"/>
          <w:sz w:val="32"/>
          <w:szCs w:val="32"/>
        </w:rPr>
        <w:t>；二是</w:t>
      </w:r>
      <w:r>
        <w:rPr>
          <w:rFonts w:hint="eastAsia" w:ascii="仿宋" w:hAnsi="仿宋" w:eastAsia="仿宋" w:cs="仿宋"/>
          <w:color w:val="000000"/>
          <w:kern w:val="0"/>
          <w:sz w:val="32"/>
          <w:szCs w:val="32"/>
          <w:shd w:val="clear" w:fill="FFFFFF"/>
        </w:rPr>
        <w:t>认真贯彻落实中央八项规定精神，严格控制各项支出。</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五、一般公共预算财政拨款收入支出决算情况说明</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（一） 一般公共预算财政拨款收入决算总体情况。</w:t>
      </w:r>
    </w:p>
    <w:p>
      <w:pPr>
        <w:pStyle w:val="2"/>
        <w:keepNext w:val="0"/>
        <w:keepLines w:val="0"/>
        <w:widowControl/>
        <w:suppressLineNumbers w:val="0"/>
        <w:adjustRightInd w:val="0"/>
        <w:snapToGrid w:val="0"/>
        <w:spacing w:before="0" w:beforeAutospacing="0" w:after="0" w:afterAutospacing="0" w:line="600" w:lineRule="exact"/>
        <w:ind w:left="0" w:right="0" w:firstLine="640" w:firstLineChars="200"/>
      </w:pPr>
      <w:r>
        <w:rPr>
          <w:rFonts w:hint="eastAsia" w:ascii="仿宋" w:hAnsi="仿宋" w:eastAsia="仿宋" w:cs="宋体"/>
          <w:kern w:val="0"/>
          <w:sz w:val="32"/>
          <w:szCs w:val="32"/>
        </w:rPr>
        <w:t>2018年度一般公共预算财政拨款收入36.36万元，占本年收入的95%。与2017年相比，一般公共预算财政拨款收入减少2.92万元，下降8%。主要原因是</w:t>
      </w:r>
      <w:r>
        <w:rPr>
          <w:rFonts w:hint="eastAsia" w:ascii="仿宋" w:hAnsi="仿宋" w:eastAsia="仿宋" w:cs="仿宋"/>
          <w:color w:val="000000"/>
          <w:kern w:val="0"/>
          <w:sz w:val="32"/>
          <w:szCs w:val="32"/>
          <w:shd w:val="clear" w:fill="FFFFFF"/>
        </w:rPr>
        <w:t>认真贯彻落实中央八项规定精神，严格控制各项经费。</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（二）一般公共预算财政拨款支出决算总体情况。</w:t>
      </w:r>
    </w:p>
    <w:p>
      <w:pPr>
        <w:pStyle w:val="2"/>
        <w:keepNext w:val="0"/>
        <w:keepLines w:val="0"/>
        <w:widowControl/>
        <w:suppressLineNumbers w:val="0"/>
        <w:adjustRightInd w:val="0"/>
        <w:snapToGrid w:val="0"/>
        <w:spacing w:before="0" w:beforeAutospacing="0" w:after="0" w:afterAutospacing="0" w:line="600" w:lineRule="exact"/>
        <w:ind w:left="0" w:right="0" w:firstLine="640" w:firstLineChars="200"/>
      </w:pPr>
      <w:r>
        <w:rPr>
          <w:rFonts w:hint="eastAsia" w:ascii="仿宋" w:hAnsi="仿宋" w:eastAsia="仿宋" w:cs="宋体"/>
          <w:kern w:val="0"/>
          <w:sz w:val="32"/>
          <w:szCs w:val="32"/>
        </w:rPr>
        <w:t>2018年度一般公共预算财政拨款支出34.77万元，占本年支出的78%。与2017年相比，一般公共预算财政拨款支出减少2.67万元，下降8%。主要原因是</w:t>
      </w:r>
      <w:r>
        <w:rPr>
          <w:rFonts w:hint="eastAsia" w:ascii="仿宋" w:hAnsi="仿宋" w:eastAsia="仿宋" w:cs="仿宋"/>
          <w:color w:val="000000"/>
          <w:kern w:val="0"/>
          <w:sz w:val="32"/>
          <w:szCs w:val="32"/>
          <w:shd w:val="clear" w:fill="FFFFFF"/>
        </w:rPr>
        <w:t>认真贯彻落实中央八项规定精神，严格控制各项支出。</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（三）一般公共预算财政拨款支出决算结构情况。</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2018年一般公共预算财政拨款支出34.77万元，主要用于以下方面：</w:t>
      </w:r>
      <w:r>
        <w:rPr>
          <w:rFonts w:hint="eastAsia" w:ascii="仿宋" w:hAnsi="仿宋" w:eastAsia="仿宋" w:cs="仿宋"/>
          <w:b/>
          <w:bCs/>
          <w:kern w:val="2"/>
          <w:sz w:val="32"/>
          <w:szCs w:val="32"/>
          <w:lang w:val="en-US" w:eastAsia="zh-CN" w:bidi="ar"/>
        </w:rPr>
        <w:t>一般公共服务（类）</w:t>
      </w:r>
      <w:r>
        <w:rPr>
          <w:rFonts w:hint="eastAsia" w:ascii="仿宋" w:hAnsi="仿宋" w:eastAsia="仿宋" w:cs="仿宋"/>
          <w:kern w:val="2"/>
          <w:sz w:val="32"/>
          <w:szCs w:val="32"/>
          <w:lang w:val="en-US" w:eastAsia="zh-CN" w:bidi="ar"/>
        </w:rPr>
        <w:t>支出27.79万元，占80%;</w:t>
      </w:r>
      <w:r>
        <w:rPr>
          <w:rFonts w:hint="eastAsia" w:ascii="仿宋" w:hAnsi="仿宋" w:eastAsia="仿宋" w:cs="仿宋"/>
          <w:b/>
          <w:bCs/>
          <w:kern w:val="2"/>
          <w:sz w:val="32"/>
          <w:szCs w:val="32"/>
          <w:lang w:val="en-US" w:eastAsia="zh-CN" w:bidi="ar"/>
        </w:rPr>
        <w:t>社会保障和就业（类）</w:t>
      </w:r>
      <w:r>
        <w:rPr>
          <w:rFonts w:hint="eastAsia" w:ascii="仿宋" w:hAnsi="仿宋" w:eastAsia="仿宋" w:cs="仿宋"/>
          <w:kern w:val="2"/>
          <w:sz w:val="32"/>
          <w:szCs w:val="32"/>
          <w:lang w:val="en-US" w:eastAsia="zh-CN" w:bidi="ar"/>
        </w:rPr>
        <w:t>支出3.28万元，占9%；</w:t>
      </w:r>
      <w:r>
        <w:rPr>
          <w:rFonts w:hint="eastAsia" w:ascii="仿宋" w:hAnsi="仿宋" w:eastAsia="仿宋" w:cs="仿宋"/>
          <w:b/>
          <w:bCs/>
          <w:kern w:val="2"/>
          <w:sz w:val="32"/>
          <w:szCs w:val="32"/>
          <w:lang w:val="en-US" w:eastAsia="zh-CN" w:bidi="ar"/>
        </w:rPr>
        <w:t>医疗卫生与计划生育支出1.29万元，占</w:t>
      </w:r>
      <w:r>
        <w:rPr>
          <w:rFonts w:hint="eastAsia" w:ascii="仿宋" w:hAnsi="仿宋" w:eastAsia="仿宋" w:cs="仿宋"/>
          <w:kern w:val="2"/>
          <w:sz w:val="32"/>
          <w:szCs w:val="32"/>
          <w:lang w:val="en-US" w:eastAsia="zh-CN" w:bidi="ar"/>
        </w:rPr>
        <w:t>4%；</w:t>
      </w:r>
      <w:r>
        <w:rPr>
          <w:rFonts w:hint="eastAsia" w:ascii="仿宋" w:hAnsi="仿宋" w:eastAsia="仿宋" w:cs="仿宋"/>
          <w:b/>
          <w:bCs/>
          <w:kern w:val="2"/>
          <w:sz w:val="32"/>
          <w:szCs w:val="32"/>
          <w:lang w:val="en-US" w:eastAsia="zh-CN" w:bidi="ar"/>
        </w:rPr>
        <w:t>住房保障（类）</w:t>
      </w:r>
      <w:r>
        <w:rPr>
          <w:rFonts w:hint="eastAsia" w:ascii="仿宋" w:hAnsi="仿宋" w:eastAsia="仿宋" w:cs="仿宋"/>
          <w:kern w:val="2"/>
          <w:sz w:val="32"/>
          <w:szCs w:val="32"/>
          <w:lang w:val="en-US" w:eastAsia="zh-CN" w:bidi="ar"/>
        </w:rPr>
        <w:t>支出2.41万元，占7%；。</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（四） 一般公共预算财政拨款支出决算具体情况。</w:t>
      </w:r>
    </w:p>
    <w:p>
      <w:pPr>
        <w:pStyle w:val="2"/>
        <w:keepNext w:val="0"/>
        <w:keepLines w:val="0"/>
        <w:widowControl/>
        <w:suppressLineNumbers w:val="0"/>
        <w:adjustRightInd w:val="0"/>
        <w:snapToGrid w:val="0"/>
        <w:spacing w:before="0" w:beforeAutospacing="0" w:after="0" w:afterAutospacing="0" w:line="600" w:lineRule="exact"/>
        <w:ind w:left="0" w:right="0" w:firstLine="640" w:firstLineChars="200"/>
      </w:pPr>
      <w:r>
        <w:rPr>
          <w:rFonts w:hint="eastAsia" w:ascii="仿宋" w:hAnsi="仿宋" w:eastAsia="仿宋" w:cs="宋体"/>
          <w:kern w:val="0"/>
          <w:sz w:val="32"/>
          <w:szCs w:val="32"/>
        </w:rPr>
        <w:t>2018年度一般公共预算财政拨款支出年初预算为38.03万元，支出决算为34.77万元，完成年初预算的91%。决算数小于预算数的主要原因</w:t>
      </w:r>
      <w:r>
        <w:rPr>
          <w:rFonts w:hint="eastAsia" w:ascii="仿宋" w:hAnsi="仿宋" w:eastAsia="仿宋" w:cs="仿宋"/>
          <w:color w:val="000000"/>
          <w:kern w:val="0"/>
          <w:sz w:val="32"/>
          <w:szCs w:val="32"/>
          <w:shd w:val="clear" w:fill="FFFFFF"/>
        </w:rPr>
        <w:t>认真贯彻落实中央八项规定精神，严格控制各项经费支出。</w:t>
      </w:r>
      <w:r>
        <w:rPr>
          <w:rFonts w:hint="eastAsia" w:ascii="仿宋" w:hAnsi="仿宋" w:eastAsia="仿宋" w:cs="仿宋"/>
          <w:kern w:val="0"/>
          <w:sz w:val="32"/>
          <w:szCs w:val="32"/>
        </w:rPr>
        <w:t>其中</w:t>
      </w:r>
      <w:r>
        <w:rPr>
          <w:rFonts w:hint="eastAsia" w:ascii="仿宋" w:hAnsi="仿宋" w:eastAsia="仿宋" w:cs="宋体"/>
          <w:kern w:val="0"/>
          <w:sz w:val="32"/>
          <w:szCs w:val="32"/>
        </w:rPr>
        <w:t>:基本支出34.77万元，占100%。具体情况如下：</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1.一般公共服务支出（类）政府办公厅（室）及相关机构事务（款）行政运行（项）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2.43万元，支出决算为1.94万元，完成年初预算的80%，决算数小于预算数的主要原因是</w:t>
      </w:r>
      <w:r>
        <w:rPr>
          <w:rFonts w:hint="eastAsia" w:ascii="仿宋" w:hAnsi="仿宋" w:eastAsia="仿宋" w:cs="仿宋"/>
          <w:color w:val="000000"/>
          <w:kern w:val="0"/>
          <w:sz w:val="32"/>
          <w:szCs w:val="32"/>
          <w:shd w:val="clear" w:fill="FFFFFF"/>
        </w:rPr>
        <w:t>认真贯彻落实中央八项规定精神，严格控制各项经费支出</w:t>
      </w:r>
      <w:r>
        <w:rPr>
          <w:rFonts w:hint="eastAsia" w:ascii="仿宋" w:hAnsi="仿宋" w:eastAsia="仿宋" w:cs="仿宋"/>
          <w:kern w:val="0"/>
          <w:sz w:val="32"/>
          <w:szCs w:val="32"/>
        </w:rPr>
        <w:t>。</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2.一般公共服务（类）商贸事务（款）行政运行（项）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19.33万元，支出决算为18.15万元，完成年初预算的94%，决算数小于预算数的主要原因是</w:t>
      </w:r>
      <w:r>
        <w:rPr>
          <w:rFonts w:hint="eastAsia" w:ascii="仿宋" w:hAnsi="仿宋" w:eastAsia="仿宋" w:cs="仿宋"/>
          <w:color w:val="000000"/>
          <w:kern w:val="0"/>
          <w:sz w:val="32"/>
          <w:szCs w:val="32"/>
          <w:shd w:val="clear" w:fill="FFFFFF"/>
        </w:rPr>
        <w:t>认真贯彻落实中央八项规定精神，严格控制各项经费支出</w:t>
      </w:r>
      <w:r>
        <w:rPr>
          <w:rFonts w:hint="eastAsia" w:ascii="仿宋" w:hAnsi="仿宋" w:eastAsia="仿宋" w:cs="仿宋"/>
          <w:kern w:val="0"/>
          <w:sz w:val="32"/>
          <w:szCs w:val="32"/>
        </w:rPr>
        <w:t>。</w:t>
      </w:r>
    </w:p>
    <w:p>
      <w:pPr>
        <w:pStyle w:val="2"/>
        <w:keepNext w:val="0"/>
        <w:keepLines w:val="0"/>
        <w:widowControl/>
        <w:suppressLineNumbers w:val="0"/>
        <w:adjustRightInd w:val="0"/>
        <w:snapToGrid w:val="0"/>
        <w:spacing w:before="0" w:beforeAutospacing="0" w:after="0" w:afterAutospacing="0" w:line="600" w:lineRule="exact"/>
        <w:ind w:left="0" w:right="0" w:firstLine="640" w:firstLineChars="200"/>
      </w:pPr>
      <w:r>
        <w:rPr>
          <w:rFonts w:hint="eastAsia" w:ascii="仿宋" w:hAnsi="仿宋" w:eastAsia="仿宋" w:cs="宋体"/>
          <w:kern w:val="0"/>
          <w:sz w:val="32"/>
          <w:szCs w:val="32"/>
        </w:rPr>
        <w:t>3.</w:t>
      </w:r>
      <w:r>
        <w:rPr>
          <w:rFonts w:hint="eastAsia" w:ascii="仿宋" w:hAnsi="仿宋" w:eastAsia="仿宋" w:cs="仿宋"/>
          <w:b/>
          <w:bCs/>
          <w:kern w:val="0"/>
          <w:sz w:val="32"/>
          <w:szCs w:val="32"/>
        </w:rPr>
        <w:t>一般公共服务（类）商贸事务（款）一般行政管理事务（项）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8万元，支出决算为7.7万元，完成年初预算的96%，决算数小于预算数的主要原因是</w:t>
      </w:r>
      <w:r>
        <w:rPr>
          <w:rFonts w:hint="eastAsia" w:ascii="仿宋" w:hAnsi="仿宋" w:eastAsia="仿宋" w:cs="仿宋"/>
          <w:color w:val="000000"/>
          <w:kern w:val="0"/>
          <w:sz w:val="32"/>
          <w:szCs w:val="32"/>
          <w:shd w:val="clear" w:fill="FFFFFF"/>
        </w:rPr>
        <w:t>认真贯彻落实中央八项规定精神，严格控制各项经费支出</w:t>
      </w:r>
      <w:r>
        <w:rPr>
          <w:rFonts w:hint="eastAsia" w:ascii="仿宋" w:hAnsi="仿宋" w:eastAsia="仿宋" w:cs="仿宋"/>
          <w:kern w:val="0"/>
          <w:sz w:val="32"/>
          <w:szCs w:val="32"/>
        </w:rPr>
        <w:t>。</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4.社会保障和就业支出（类）行政事业单位离退休（款）机关事业单位基本养老保险缴费支出（项）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3.22万元，支出决算为3.22万元，完成年初预算的100%。</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5. 社会保障和就业支出（类）财政对其他社会保险基金的补助（款）财政对生育保险基金的补助（项）。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0.06万元，支出决算0.06万元，完成年初预算的100%。</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6.医疗卫生与计划生育支出（类）行政事业单位医疗（款）行政单位医疗（项）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0.97万元，支出决算0.97万元，完成年初预算的100%。</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7.医疗卫生与计划生育支出（类）行政事业单位医疗（款）公务员医疗补助（项）：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0.32万元，支出决算0.32万元，完成年初预算的100%。</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8.住房保障支出（类）住房改革支出（款）住房公积金（项）：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1.93万元，支出决算1.93万元，完成年初预算的100%。</w:t>
      </w:r>
    </w:p>
    <w:p>
      <w:pPr>
        <w:pStyle w:val="2"/>
        <w:keepNext w:val="0"/>
        <w:keepLines w:val="0"/>
        <w:widowControl/>
        <w:suppressLineNumbers w:val="0"/>
        <w:adjustRightInd w:val="0"/>
        <w:snapToGrid w:val="0"/>
        <w:spacing w:before="0" w:beforeAutospacing="0" w:after="0" w:afterAutospacing="0" w:line="600" w:lineRule="exact"/>
        <w:ind w:left="0" w:right="0" w:firstLine="643" w:firstLineChars="200"/>
      </w:pPr>
      <w:r>
        <w:rPr>
          <w:rFonts w:hint="eastAsia" w:ascii="仿宋" w:hAnsi="仿宋" w:eastAsia="仿宋" w:cs="宋体"/>
          <w:b/>
          <w:bCs/>
          <w:kern w:val="0"/>
          <w:sz w:val="32"/>
          <w:szCs w:val="32"/>
        </w:rPr>
        <w:t>9. 住房保障支出（类）住房改革支出（款）提租补贴（项）：</w:t>
      </w:r>
      <w:r>
        <w:rPr>
          <w:rFonts w:hint="eastAsia" w:ascii="仿宋" w:hAnsi="仿宋" w:eastAsia="仿宋" w:cs="仿宋"/>
          <w:kern w:val="0"/>
          <w:sz w:val="32"/>
          <w:szCs w:val="32"/>
        </w:rPr>
        <w:t>年初预算为</w:t>
      </w:r>
      <w:r>
        <w:rPr>
          <w:rFonts w:hint="eastAsia" w:ascii="仿宋" w:hAnsi="仿宋" w:eastAsia="仿宋" w:cs="宋体"/>
          <w:kern w:val="0"/>
          <w:sz w:val="32"/>
          <w:szCs w:val="32"/>
        </w:rPr>
        <w:t>0.48万元，支出决算0.48万元，完成年初预算的100%。</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六、一般公共预算财政拨款基本支出决算情况说明</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2018年度财政拨款基本支出34.77万元，其中人员经费25.3万元，主要包括:基本工资、津贴补贴、伙食补助费、机关事业单位基本养老保险费、公务员医疗补助缴费、其他社会保障缴费、住房公积金、其他工资福利支出；公用经费9.47万元，主要包括：办公费、邮电费、会议费、培训费、公务接待费。</w:t>
      </w:r>
    </w:p>
    <w:p>
      <w:pPr>
        <w:keepNext w:val="0"/>
        <w:keepLines w:val="0"/>
        <w:widowControl/>
        <w:suppressLineNumbers w:val="0"/>
        <w:spacing w:before="0" w:beforeAutospacing="1" w:after="0" w:afterAutospacing="1"/>
        <w:ind w:left="0" w:right="0" w:firstLine="643" w:firstLineChars="200"/>
        <w:jc w:val="left"/>
      </w:pPr>
      <w:r>
        <w:rPr>
          <w:rFonts w:hint="eastAsia" w:ascii="仿宋" w:hAnsi="仿宋" w:eastAsia="仿宋" w:cs="仿宋"/>
          <w:b/>
          <w:bCs/>
          <w:kern w:val="2"/>
          <w:sz w:val="32"/>
          <w:szCs w:val="32"/>
          <w:lang w:val="en-US" w:eastAsia="zh-CN" w:bidi="ar"/>
        </w:rPr>
        <w:t>七、政府性基金财政拨款收入支出决算情况说明</w:t>
      </w:r>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仿宋"/>
          <w:kern w:val="2"/>
          <w:sz w:val="32"/>
          <w:szCs w:val="32"/>
          <w:lang w:val="en-US" w:eastAsia="zh-CN" w:bidi="ar"/>
        </w:rPr>
        <w:t>市贸促会没有政府性基金收入，也没有使用政府性基金安排的支出。</w:t>
      </w:r>
    </w:p>
    <w:p>
      <w:pPr>
        <w:keepNext w:val="0"/>
        <w:keepLines w:val="0"/>
        <w:widowControl/>
        <w:suppressLineNumbers w:val="0"/>
        <w:adjustRightInd w:val="0"/>
        <w:snapToGrid w:val="0"/>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八、其他重要事项的情况说明</w:t>
      </w:r>
    </w:p>
    <w:p>
      <w:pPr>
        <w:keepNext w:val="0"/>
        <w:keepLines w:val="0"/>
        <w:widowControl/>
        <w:suppressLineNumbers w:val="0"/>
        <w:adjustRightInd w:val="0"/>
        <w:snapToGrid w:val="0"/>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（一）机关运行经费支出情况。</w:t>
      </w:r>
    </w:p>
    <w:p>
      <w:pPr>
        <w:keepNext w:val="0"/>
        <w:keepLines w:val="0"/>
        <w:widowControl/>
        <w:suppressLineNumbers w:val="0"/>
        <w:shd w:val="clear" w:fill="FFFFFF"/>
        <w:spacing w:before="0" w:beforeAutospacing="1" w:after="0" w:afterAutospacing="1" w:line="540" w:lineRule="atLeast"/>
        <w:ind w:left="0" w:right="0" w:firstLine="628"/>
        <w:jc w:val="left"/>
      </w:pPr>
      <w:r>
        <w:rPr>
          <w:rFonts w:hint="eastAsia" w:ascii="仿宋" w:hAnsi="仿宋" w:eastAsia="仿宋" w:cs="仿宋"/>
          <w:kern w:val="2"/>
          <w:sz w:val="32"/>
          <w:szCs w:val="32"/>
          <w:shd w:val="clear" w:fill="FFFFFF"/>
          <w:lang w:val="en-US" w:eastAsia="zh-CN" w:bidi="ar"/>
        </w:rPr>
        <w:t>2018年度，宿州市贸促会机关运行经费支出9.47万元，比2017年增加0.18万元，增长2%，主要原因是</w:t>
      </w:r>
      <w:r>
        <w:rPr>
          <w:rFonts w:hint="eastAsia" w:ascii="仿宋" w:hAnsi="仿宋" w:eastAsia="仿宋" w:cs="仿宋"/>
          <w:color w:val="333333"/>
          <w:kern w:val="0"/>
          <w:sz w:val="32"/>
          <w:szCs w:val="32"/>
          <w:shd w:val="clear" w:fill="FFFFFF"/>
          <w:lang w:val="en-US" w:eastAsia="zh-CN" w:bidi="ar"/>
        </w:rPr>
        <w:t>专职领导配备、相关业务活动广泛开展。</w:t>
      </w:r>
    </w:p>
    <w:p>
      <w:pPr>
        <w:keepNext w:val="0"/>
        <w:keepLines w:val="0"/>
        <w:widowControl/>
        <w:suppressLineNumbers w:val="0"/>
        <w:adjustRightInd w:val="0"/>
        <w:snapToGrid w:val="0"/>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（二）政府采购支出情况。</w:t>
      </w:r>
    </w:p>
    <w:p>
      <w:pPr>
        <w:keepNext w:val="0"/>
        <w:keepLines w:val="0"/>
        <w:widowControl/>
        <w:suppressLineNumbers w:val="0"/>
        <w:adjustRightInd w:val="0"/>
        <w:snapToGrid w:val="0"/>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2018年度，宿州市贸促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widowControl/>
        <w:suppressLineNumbers w:val="0"/>
        <w:adjustRightInd w:val="0"/>
        <w:snapToGrid w:val="0"/>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（三）国有资产占有使用情况。</w:t>
      </w:r>
    </w:p>
    <w:p>
      <w:pPr>
        <w:keepNext w:val="0"/>
        <w:keepLines w:val="0"/>
        <w:widowControl/>
        <w:suppressLineNumbers w:val="0"/>
        <w:adjustRightInd w:val="0"/>
        <w:snapToGrid w:val="0"/>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截至2018年12月31日，宿州市贸促会共有车辆0辆，其中：主要领导干部用车0辆、机要通信用车0辆、应急保障用车0辆，特种专业技术用车0辆，离退休干部用车0辆，其他用车0辆（只列报车辆数不为0的车型）；单价50万元以上的通用设备0台（套），单价100万以上专用设备0台（套）。</w:t>
      </w:r>
      <w:r>
        <w:rPr>
          <w:rFonts w:hint="eastAsia" w:ascii="仿宋" w:hAnsi="仿宋" w:eastAsia="仿宋" w:cs="仿宋"/>
          <w:kern w:val="2"/>
          <w:sz w:val="32"/>
          <w:szCs w:val="32"/>
          <w:lang w:val="en-US" w:eastAsia="zh-CN" w:bidi="ar"/>
        </w:rPr>
        <w:br w:type="textWrapping"/>
      </w:r>
      <w:r>
        <w:rPr>
          <w:rFonts w:hint="eastAsia" w:ascii="仿宋" w:hAnsi="仿宋" w:eastAsia="仿宋" w:cs="仿宋"/>
          <w:kern w:val="2"/>
          <w:sz w:val="32"/>
          <w:szCs w:val="32"/>
          <w:lang w:val="en-US" w:eastAsia="zh-CN" w:bidi="ar"/>
        </w:rPr>
        <w:t xml:space="preserve"> </w:t>
      </w:r>
      <w:r>
        <w:rPr>
          <w:rFonts w:hint="eastAsia" w:ascii="仿宋" w:hAnsi="仿宋" w:eastAsia="仿宋" w:cs="仿宋"/>
          <w:b/>
          <w:bCs/>
          <w:i/>
          <w:iCs/>
          <w:kern w:val="2"/>
          <w:sz w:val="32"/>
          <w:szCs w:val="32"/>
          <w:lang w:val="en-US" w:eastAsia="zh-CN" w:bidi="ar"/>
        </w:rPr>
        <w:t xml:space="preserve"> </w:t>
      </w:r>
      <w:r>
        <w:rPr>
          <w:rFonts w:hint="eastAsia" w:ascii="仿宋" w:hAnsi="仿宋" w:eastAsia="仿宋" w:cs="仿宋"/>
          <w:kern w:val="2"/>
          <w:sz w:val="32"/>
          <w:szCs w:val="32"/>
          <w:lang w:val="en-US" w:eastAsia="zh-CN" w:bidi="ar"/>
        </w:rPr>
        <w:t xml:space="preserve"> </w:t>
      </w:r>
      <w:r>
        <w:rPr>
          <w:rFonts w:hint="eastAsia" w:ascii="仿宋" w:hAnsi="仿宋" w:eastAsia="仿宋" w:cs="仿宋"/>
          <w:b/>
          <w:bCs/>
          <w:kern w:val="2"/>
          <w:sz w:val="32"/>
          <w:szCs w:val="32"/>
          <w:lang w:val="en-US" w:eastAsia="zh-CN" w:bidi="ar"/>
        </w:rPr>
        <w:t>（四）关于2018年度预算绩效情况说明。</w:t>
      </w:r>
    </w:p>
    <w:p>
      <w:pPr>
        <w:keepNext w:val="0"/>
        <w:keepLines w:val="0"/>
        <w:widowControl/>
        <w:suppressLineNumbers w:val="0"/>
        <w:adjustRightInd w:val="0"/>
        <w:snapToGrid w:val="0"/>
        <w:spacing w:before="0" w:beforeAutospacing="1" w:after="0" w:afterAutospacing="1" w:line="600" w:lineRule="exact"/>
        <w:ind w:left="0" w:right="0" w:firstLine="643" w:firstLineChars="200"/>
        <w:jc w:val="left"/>
      </w:pPr>
      <w:r>
        <w:rPr>
          <w:rFonts w:hint="eastAsia" w:ascii="仿宋" w:hAnsi="仿宋" w:eastAsia="仿宋" w:cs="仿宋_GB2312"/>
          <w:b/>
          <w:bCs/>
          <w:kern w:val="2"/>
          <w:sz w:val="32"/>
          <w:szCs w:val="32"/>
          <w:lang w:val="en-US" w:eastAsia="zh-CN" w:bidi="ar"/>
        </w:rPr>
        <w:t>1.预算绩效管理工作开展情况</w:t>
      </w:r>
    </w:p>
    <w:p>
      <w:pPr>
        <w:keepNext w:val="0"/>
        <w:keepLines w:val="0"/>
        <w:widowControl/>
        <w:suppressLineNumbers w:val="0"/>
        <w:adjustRightInd w:val="0"/>
        <w:snapToGrid w:val="0"/>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根据预算绩效管理要求，本部门组织对</w:t>
      </w:r>
      <w:r>
        <w:rPr>
          <w:rFonts w:hint="eastAsia" w:ascii="仿宋" w:hAnsi="仿宋" w:eastAsia="仿宋" w:cs="仿宋_GB2312"/>
          <w:kern w:val="2"/>
          <w:sz w:val="32"/>
          <w:szCs w:val="32"/>
          <w:lang w:val="en-US" w:eastAsia="zh-CN" w:bidi="ar"/>
        </w:rPr>
        <w:t>2018年度纳入部门预算的项目支出全面开展了绩效自评，共0项目，涉及资金0万元，占项目预算总额的0%。</w:t>
      </w:r>
    </w:p>
    <w:p>
      <w:pPr>
        <w:keepNext w:val="0"/>
        <w:keepLines w:val="0"/>
        <w:widowControl/>
        <w:suppressLineNumbers w:val="0"/>
        <w:adjustRightInd w:val="0"/>
        <w:snapToGrid w:val="0"/>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本部门共组织对</w:t>
      </w:r>
      <w:r>
        <w:rPr>
          <w:rFonts w:hint="eastAsia" w:ascii="仿宋" w:hAnsi="仿宋" w:eastAsia="仿宋" w:cs="仿宋_GB2312"/>
          <w:kern w:val="2"/>
          <w:sz w:val="32"/>
          <w:szCs w:val="32"/>
          <w:lang w:val="en-US" w:eastAsia="zh-CN" w:bidi="ar"/>
        </w:rPr>
        <w:t>0个项目开展了重点绩效评价，涉及资金0万元。上述项目均委托第三方机构开展绩效评价。</w:t>
      </w:r>
    </w:p>
    <w:p>
      <w:pPr>
        <w:keepNext w:val="0"/>
        <w:keepLines w:val="0"/>
        <w:widowControl/>
        <w:suppressLineNumbers w:val="0"/>
        <w:adjustRightInd w:val="0"/>
        <w:snapToGrid w:val="0"/>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组织开展</w:t>
      </w:r>
      <w:r>
        <w:rPr>
          <w:rFonts w:hint="eastAsia" w:ascii="仿宋" w:hAnsi="仿宋" w:eastAsia="仿宋" w:cs="仿宋_GB2312"/>
          <w:kern w:val="2"/>
          <w:sz w:val="32"/>
          <w:szCs w:val="32"/>
          <w:lang w:val="en-US" w:eastAsia="zh-CN" w:bidi="ar"/>
        </w:rPr>
        <w:t>2018年度部门整体支出绩效评价。</w:t>
      </w:r>
    </w:p>
    <w:p>
      <w:pPr>
        <w:keepNext w:val="0"/>
        <w:keepLines w:val="0"/>
        <w:widowControl/>
        <w:suppressLineNumbers w:val="0"/>
        <w:adjustRightInd w:val="0"/>
        <w:snapToGrid w:val="0"/>
        <w:spacing w:before="0" w:beforeAutospacing="1" w:after="0" w:afterAutospacing="1" w:line="600" w:lineRule="exact"/>
        <w:ind w:left="0" w:right="0" w:firstLine="643" w:firstLineChars="200"/>
        <w:jc w:val="left"/>
      </w:pPr>
      <w:r>
        <w:rPr>
          <w:rFonts w:hint="eastAsia" w:ascii="仿宋" w:hAnsi="仿宋" w:eastAsia="仿宋" w:cs="仿宋_GB2312"/>
          <w:b/>
          <w:bCs/>
          <w:kern w:val="2"/>
          <w:sz w:val="32"/>
          <w:szCs w:val="32"/>
          <w:lang w:val="en-US" w:eastAsia="zh-CN" w:bidi="ar"/>
        </w:rPr>
        <w:t>2.部门决算中项目绩效自评结果</w:t>
      </w:r>
    </w:p>
    <w:p>
      <w:pPr>
        <w:keepNext w:val="0"/>
        <w:keepLines w:val="0"/>
        <w:widowControl/>
        <w:suppressLineNumbers w:val="0"/>
        <w:adjustRightInd w:val="0"/>
        <w:snapToGrid w:val="0"/>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市贸促会在</w:t>
      </w:r>
      <w:r>
        <w:rPr>
          <w:rFonts w:hint="eastAsia" w:ascii="仿宋" w:hAnsi="仿宋" w:eastAsia="仿宋" w:cs="仿宋_GB2312"/>
          <w:kern w:val="2"/>
          <w:sz w:val="32"/>
          <w:szCs w:val="32"/>
          <w:lang w:val="en-US" w:eastAsia="zh-CN" w:bidi="ar"/>
        </w:rPr>
        <w:t>2018年度部门决算中公开0个项目绩效自评结果。</w:t>
      </w:r>
    </w:p>
    <w:p>
      <w:pPr>
        <w:keepNext w:val="0"/>
        <w:keepLines w:val="0"/>
        <w:widowControl/>
        <w:suppressLineNumbers w:val="0"/>
        <w:adjustRightInd w:val="0"/>
        <w:snapToGrid w:val="0"/>
        <w:spacing w:before="0" w:beforeAutospacing="1" w:after="0" w:afterAutospacing="1" w:line="560" w:lineRule="exact"/>
        <w:ind w:left="0" w:right="0" w:firstLine="640" w:firstLineChars="200"/>
        <w:jc w:val="center"/>
      </w:pPr>
      <w:r>
        <w:rPr>
          <w:rFonts w:hint="eastAsia" w:ascii="楷体" w:hAnsi="楷体" w:eastAsia="楷体" w:cs="楷体"/>
          <w:kern w:val="2"/>
          <w:sz w:val="32"/>
          <w:szCs w:val="32"/>
          <w:lang w:val="en-US" w:eastAsia="zh-CN" w:bidi="ar"/>
        </w:rPr>
        <w:t>第四部分 名词解释</w:t>
      </w:r>
    </w:p>
    <w:p>
      <w:pPr>
        <w:keepNext w:val="0"/>
        <w:keepLines w:val="0"/>
        <w:widowControl/>
        <w:suppressLineNumbers w:val="0"/>
        <w:adjustRightInd w:val="0"/>
        <w:snapToGrid w:val="0"/>
        <w:spacing w:before="0" w:beforeAutospacing="1" w:after="0" w:afterAutospacing="1" w:line="560" w:lineRule="exact"/>
        <w:ind w:left="0" w:right="0" w:firstLine="643" w:firstLineChars="200"/>
        <w:jc w:val="left"/>
      </w:pPr>
      <w:r>
        <w:rPr>
          <w:rFonts w:hint="eastAsia" w:ascii="仿宋" w:hAnsi="仿宋" w:eastAsia="仿宋" w:cs="仿宋"/>
          <w:b/>
          <w:bCs/>
          <w:kern w:val="2"/>
          <w:sz w:val="32"/>
          <w:szCs w:val="32"/>
          <w:lang w:val="en-US" w:eastAsia="zh-CN" w:bidi="ar"/>
        </w:rPr>
        <w:t>一、财政拨款收入：</w:t>
      </w:r>
      <w:r>
        <w:rPr>
          <w:rFonts w:hint="eastAsia" w:ascii="仿宋" w:hAnsi="仿宋" w:eastAsia="仿宋" w:cs="仿宋"/>
          <w:kern w:val="2"/>
          <w:sz w:val="32"/>
          <w:szCs w:val="32"/>
          <w:lang w:val="en-US" w:eastAsia="zh-CN" w:bidi="ar"/>
        </w:rPr>
        <w:t>指单位从同级财政部门取得的财政预算资金。</w:t>
      </w:r>
    </w:p>
    <w:p>
      <w:pPr>
        <w:keepNext w:val="0"/>
        <w:keepLines w:val="0"/>
        <w:widowControl/>
        <w:suppressLineNumbers w:val="0"/>
        <w:adjustRightInd w:val="0"/>
        <w:snapToGrid w:val="0"/>
        <w:spacing w:before="0" w:beforeAutospacing="1" w:after="0" w:afterAutospacing="1" w:line="560" w:lineRule="exact"/>
        <w:ind w:left="0" w:right="0" w:firstLine="643" w:firstLineChars="200"/>
        <w:jc w:val="left"/>
      </w:pPr>
      <w:r>
        <w:rPr>
          <w:rFonts w:hint="eastAsia" w:ascii="仿宋" w:hAnsi="仿宋" w:eastAsia="仿宋" w:cs="仿宋"/>
          <w:b/>
          <w:bCs/>
          <w:kern w:val="2"/>
          <w:sz w:val="32"/>
          <w:szCs w:val="32"/>
          <w:lang w:val="en-US" w:eastAsia="zh-CN" w:bidi="ar"/>
        </w:rPr>
        <w:t>二、事业收入：</w:t>
      </w:r>
      <w:r>
        <w:rPr>
          <w:rFonts w:hint="eastAsia" w:ascii="仿宋" w:hAnsi="仿宋" w:eastAsia="仿宋" w:cs="仿宋"/>
          <w:kern w:val="2"/>
          <w:sz w:val="32"/>
          <w:szCs w:val="32"/>
          <w:lang w:val="en-US" w:eastAsia="zh-CN" w:bidi="ar"/>
        </w:rPr>
        <w:t>指事业单位开展专业业务活动及辅助活动所取得的收入。</w:t>
      </w:r>
    </w:p>
    <w:p>
      <w:pPr>
        <w:pStyle w:val="2"/>
        <w:keepNext w:val="0"/>
        <w:keepLines w:val="0"/>
        <w:widowControl/>
        <w:suppressLineNumbers w:val="0"/>
        <w:adjustRightInd w:val="0"/>
        <w:snapToGrid w:val="0"/>
        <w:spacing w:before="0" w:beforeAutospacing="1" w:after="0" w:afterAutospacing="1" w:line="560" w:lineRule="exact"/>
        <w:ind w:left="0" w:right="0" w:firstLine="630" w:firstLineChars="196"/>
      </w:pPr>
      <w:r>
        <w:rPr>
          <w:rFonts w:hint="eastAsia" w:ascii="仿宋" w:hAnsi="仿宋" w:eastAsia="仿宋" w:cs="仿宋"/>
          <w:b/>
          <w:bCs/>
          <w:kern w:val="0"/>
          <w:sz w:val="32"/>
          <w:szCs w:val="32"/>
        </w:rPr>
        <w:t>三、上级补助收入：</w:t>
      </w:r>
      <w:r>
        <w:rPr>
          <w:rFonts w:hint="eastAsia" w:ascii="仿宋" w:hAnsi="仿宋" w:eastAsia="仿宋" w:cs="仿宋"/>
          <w:kern w:val="0"/>
          <w:sz w:val="32"/>
          <w:szCs w:val="32"/>
        </w:rPr>
        <w:t>指</w:t>
      </w:r>
      <w:r>
        <w:rPr>
          <w:rFonts w:hint="eastAsia" w:ascii="仿宋" w:hAnsi="仿宋" w:eastAsia="仿宋" w:cs="仿宋"/>
          <w:kern w:val="2"/>
          <w:sz w:val="32"/>
          <w:szCs w:val="32"/>
        </w:rPr>
        <w:t>事业单位从主管部门和上级单位取得的非财政补助收入。</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四、附属单位上缴收入：</w:t>
      </w:r>
      <w:r>
        <w:rPr>
          <w:rFonts w:hint="eastAsia" w:ascii="仿宋" w:hAnsi="仿宋" w:eastAsia="仿宋" w:cs="仿宋"/>
          <w:kern w:val="0"/>
          <w:sz w:val="32"/>
          <w:szCs w:val="32"/>
        </w:rPr>
        <w:t>指事业单位附属独立核算单位按照有关规定上缴的收入。</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五、经营收入：</w:t>
      </w:r>
      <w:r>
        <w:rPr>
          <w:rFonts w:hint="eastAsia" w:ascii="仿宋" w:hAnsi="仿宋" w:eastAsia="仿宋" w:cs="仿宋"/>
          <w:kern w:val="0"/>
          <w:sz w:val="32"/>
          <w:szCs w:val="32"/>
        </w:rPr>
        <w:t>指事业单位在专业业务活动及其辅助活动之外开展非独立核算经营活动取得的收入。</w:t>
      </w:r>
    </w:p>
    <w:p>
      <w:pPr>
        <w:pStyle w:val="2"/>
        <w:keepNext w:val="0"/>
        <w:keepLines w:val="0"/>
        <w:widowControl/>
        <w:suppressLineNumbers w:val="0"/>
        <w:adjustRightInd w:val="0"/>
        <w:snapToGrid w:val="0"/>
        <w:spacing w:before="0" w:beforeAutospacing="1" w:after="0" w:afterAutospacing="1" w:line="560" w:lineRule="exact"/>
        <w:ind w:left="0" w:right="0" w:firstLine="630" w:firstLineChars="196"/>
      </w:pPr>
      <w:r>
        <w:rPr>
          <w:rFonts w:hint="eastAsia" w:ascii="仿宋" w:hAnsi="仿宋" w:eastAsia="仿宋" w:cs="仿宋"/>
          <w:b/>
          <w:bCs/>
          <w:kern w:val="0"/>
          <w:sz w:val="32"/>
          <w:szCs w:val="32"/>
        </w:rPr>
        <w:t>六、其他收入：</w:t>
      </w:r>
      <w:r>
        <w:rPr>
          <w:rFonts w:hint="eastAsia" w:ascii="仿宋" w:hAnsi="仿宋" w:eastAsia="仿宋" w:cs="仿宋"/>
          <w:kern w:val="0"/>
          <w:sz w:val="32"/>
          <w:szCs w:val="32"/>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七、用事业基金弥补收支差额：</w:t>
      </w:r>
      <w:r>
        <w:rPr>
          <w:rFonts w:hint="eastAsia" w:ascii="仿宋" w:hAnsi="仿宋" w:eastAsia="仿宋" w:cs="仿宋"/>
          <w:kern w:val="0"/>
          <w:sz w:val="32"/>
          <w:szCs w:val="32"/>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八、年初结转和结余：</w:t>
      </w:r>
      <w:r>
        <w:rPr>
          <w:rFonts w:hint="eastAsia" w:ascii="仿宋" w:hAnsi="仿宋" w:eastAsia="仿宋" w:cs="仿宋"/>
          <w:kern w:val="0"/>
          <w:sz w:val="32"/>
          <w:szCs w:val="32"/>
        </w:rPr>
        <w:t>指单位以前年度尚未完成、结转到本年按有关规定继续使用的资金。</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九、结余分配：</w:t>
      </w:r>
      <w:r>
        <w:rPr>
          <w:rFonts w:hint="eastAsia" w:ascii="仿宋" w:hAnsi="仿宋" w:eastAsia="仿宋" w:cs="仿宋"/>
          <w:kern w:val="0"/>
          <w:sz w:val="32"/>
          <w:szCs w:val="32"/>
        </w:rPr>
        <w:t>指事业单位按照会计制度规定缴纳的所得税以及从非财政补助结余中提取的职工福利基金、事业基金。</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十、年末结转和结余：</w:t>
      </w:r>
      <w:r>
        <w:rPr>
          <w:rFonts w:hint="eastAsia" w:ascii="仿宋" w:hAnsi="仿宋" w:eastAsia="仿宋" w:cs="仿宋"/>
          <w:kern w:val="0"/>
          <w:sz w:val="32"/>
          <w:szCs w:val="32"/>
        </w:rPr>
        <w:t>指单位按有关规定结转到下年或以后年度继续使用的资金。</w:t>
      </w:r>
    </w:p>
    <w:p>
      <w:pPr>
        <w:pStyle w:val="2"/>
        <w:keepNext w:val="0"/>
        <w:keepLines w:val="0"/>
        <w:widowControl/>
        <w:suppressLineNumbers w:val="0"/>
        <w:adjustRightInd w:val="0"/>
        <w:snapToGrid w:val="0"/>
        <w:spacing w:before="0" w:beforeAutospacing="0" w:after="0" w:afterAutospacing="0" w:line="560" w:lineRule="exact"/>
        <w:ind w:left="0" w:right="0" w:firstLine="630" w:firstLineChars="196"/>
      </w:pPr>
      <w:r>
        <w:rPr>
          <w:rFonts w:hint="eastAsia" w:ascii="仿宋" w:hAnsi="仿宋" w:eastAsia="仿宋" w:cs="仿宋"/>
          <w:b/>
          <w:bCs/>
          <w:kern w:val="0"/>
          <w:sz w:val="32"/>
          <w:szCs w:val="32"/>
        </w:rPr>
        <w:t>十一、基本支出：</w:t>
      </w:r>
      <w:r>
        <w:rPr>
          <w:rFonts w:hint="eastAsia" w:ascii="仿宋" w:hAnsi="仿宋" w:eastAsia="仿宋" w:cs="仿宋"/>
          <w:kern w:val="0"/>
          <w:sz w:val="32"/>
          <w:szCs w:val="32"/>
        </w:rPr>
        <w:t>指单位为保障其机构正常运转、完成日常工作任务而发生的人员支出和公用支出。</w:t>
      </w:r>
    </w:p>
    <w:p>
      <w:pPr>
        <w:pStyle w:val="2"/>
        <w:keepNext w:val="0"/>
        <w:keepLines w:val="0"/>
        <w:widowControl/>
        <w:suppressLineNumbers w:val="0"/>
        <w:spacing w:before="0" w:beforeAutospacing="0" w:after="0" w:afterAutospacing="0" w:line="560" w:lineRule="exact"/>
        <w:ind w:left="0" w:right="0" w:firstLine="630" w:firstLineChars="196"/>
        <w:jc w:val="both"/>
      </w:pPr>
      <w:r>
        <w:rPr>
          <w:rFonts w:hint="eastAsia" w:ascii="仿宋" w:hAnsi="仿宋" w:eastAsia="仿宋" w:cs="仿宋"/>
          <w:b/>
          <w:bCs/>
          <w:kern w:val="0"/>
          <w:sz w:val="32"/>
          <w:szCs w:val="32"/>
        </w:rPr>
        <w:t>十二、项目支出：</w:t>
      </w:r>
      <w:r>
        <w:rPr>
          <w:rFonts w:hint="eastAsia" w:ascii="仿宋" w:hAnsi="仿宋" w:eastAsia="仿宋" w:cs="仿宋"/>
          <w:kern w:val="0"/>
          <w:sz w:val="32"/>
          <w:szCs w:val="32"/>
        </w:rPr>
        <w:t>指单位为完成特定行政任务和事业发展目标在基本支出之外所发生的支出。</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hint="eastAsia" w:ascii="仿宋" w:hAnsi="仿宋" w:eastAsia="仿宋" w:cs="仿宋"/>
          <w:b/>
          <w:bCs/>
          <w:kern w:val="0"/>
          <w:sz w:val="32"/>
          <w:szCs w:val="32"/>
        </w:rPr>
        <w:t>十三、经营支出：</w:t>
      </w:r>
      <w:r>
        <w:rPr>
          <w:rFonts w:hint="eastAsia" w:ascii="仿宋" w:hAnsi="仿宋" w:eastAsia="仿宋" w:cs="仿宋"/>
          <w:kern w:val="0"/>
          <w:sz w:val="32"/>
          <w:szCs w:val="32"/>
        </w:rPr>
        <w:t>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560" w:lineRule="exact"/>
        <w:ind w:left="0" w:right="0" w:firstLine="630" w:firstLineChars="196"/>
        <w:jc w:val="both"/>
      </w:pPr>
      <w:r>
        <w:rPr>
          <w:rFonts w:hint="eastAsia" w:ascii="仿宋" w:hAnsi="仿宋" w:eastAsia="仿宋" w:cs="仿宋"/>
          <w:b/>
          <w:bCs/>
          <w:kern w:val="0"/>
          <w:sz w:val="32"/>
          <w:szCs w:val="32"/>
        </w:rPr>
        <w:t>十四、</w:t>
      </w:r>
      <w:r>
        <w:rPr>
          <w:rFonts w:hint="eastAsia" w:ascii="仿宋" w:hAnsi="仿宋" w:eastAsia="仿宋" w:cs="宋体"/>
          <w:b/>
          <w:bCs/>
          <w:kern w:val="0"/>
          <w:sz w:val="32"/>
          <w:szCs w:val="32"/>
        </w:rPr>
        <w:t>“三公”经费：</w:t>
      </w:r>
      <w:r>
        <w:rPr>
          <w:rFonts w:hint="eastAsia" w:ascii="仿宋" w:hAnsi="仿宋" w:eastAsia="仿宋" w:cs="仿宋"/>
          <w:kern w:val="0"/>
          <w:sz w:val="32"/>
          <w:szCs w:val="32"/>
        </w:rPr>
        <w:t>纳入财政预决算管理的</w:t>
      </w:r>
      <w:r>
        <w:rPr>
          <w:rFonts w:hint="eastAsia" w:ascii="仿宋" w:hAnsi="仿宋" w:eastAsia="仿宋" w:cs="宋体"/>
          <w:kern w:val="0"/>
          <w:sz w:val="32"/>
          <w:szCs w:val="32"/>
        </w:rPr>
        <w:t>“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hint="eastAsia" w:ascii="仿宋" w:hAnsi="仿宋" w:eastAsia="仿宋" w:cs="仿宋"/>
          <w:kern w:val="0"/>
          <w:sz w:val="32"/>
          <w:szCs w:val="32"/>
        </w:rPr>
        <w:t>）支出。</w:t>
      </w:r>
    </w:p>
    <w:p>
      <w:pPr>
        <w:pStyle w:val="2"/>
        <w:keepNext w:val="0"/>
        <w:keepLines w:val="0"/>
        <w:widowControl/>
        <w:suppressLineNumbers w:val="0"/>
        <w:spacing w:before="0" w:beforeAutospacing="0" w:after="0" w:afterAutospacing="0" w:line="560" w:lineRule="exact"/>
        <w:ind w:left="0" w:right="0" w:firstLine="630" w:firstLineChars="196"/>
        <w:jc w:val="both"/>
      </w:pPr>
      <w:r>
        <w:rPr>
          <w:rFonts w:hint="eastAsia" w:ascii="仿宋" w:hAnsi="仿宋" w:eastAsia="仿宋" w:cs="仿宋"/>
          <w:b/>
          <w:bCs/>
          <w:kern w:val="0"/>
          <w:sz w:val="32"/>
          <w:szCs w:val="32"/>
        </w:rPr>
        <w:t>十五、机关运行经费</w:t>
      </w:r>
      <w:r>
        <w:rPr>
          <w:rFonts w:hint="eastAsia" w:ascii="仿宋" w:hAnsi="仿宋" w:eastAsia="仿宋" w:cs="仿宋"/>
          <w:kern w:val="0"/>
          <w:sz w:val="32"/>
          <w:szCs w:val="32"/>
        </w:rPr>
        <w:t>：指为保障行政单位（含参照公务员法管理的事业单位）运行用于购买货物和服务的各项资金</w:t>
      </w:r>
      <w:r>
        <w:rPr>
          <w:rFonts w:hint="eastAsia" w:ascii="仿宋" w:hAnsi="仿宋" w:eastAsia="仿宋" w:cs="仿宋"/>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keepNext w:val="0"/>
        <w:keepLines w:val="0"/>
        <w:widowControl/>
        <w:suppressLineNumbers w:val="0"/>
        <w:spacing w:before="0" w:beforeAutospacing="1" w:after="0" w:afterAutospacing="1"/>
        <w:ind w:left="1325" w:leftChars="250" w:right="0" w:hanging="800" w:hangingChars="249"/>
        <w:jc w:val="center"/>
      </w:pPr>
      <w:r>
        <w:rPr>
          <w:rFonts w:hint="eastAsia" w:ascii="仿宋" w:hAnsi="仿宋" w:eastAsia="仿宋" w:cs="仿宋"/>
          <w:b/>
          <w:bCs/>
          <w:kern w:val="2"/>
          <w:sz w:val="32"/>
          <w:szCs w:val="32"/>
          <w:lang w:val="en-US" w:eastAsia="zh-CN" w:bidi="ar"/>
        </w:rPr>
        <w:t xml:space="preserve"> </w:t>
      </w:r>
    </w:p>
    <w:p>
      <w:pPr>
        <w:keepNext w:val="0"/>
        <w:keepLines w:val="0"/>
        <w:widowControl/>
        <w:suppressLineNumbers w:val="0"/>
        <w:spacing w:before="0" w:beforeAutospacing="1" w:after="0" w:afterAutospacing="1"/>
        <w:ind w:left="1325" w:leftChars="250" w:right="0" w:hanging="800" w:hangingChars="249"/>
        <w:jc w:val="center"/>
      </w:pPr>
      <w:r>
        <w:rPr>
          <w:rFonts w:hint="eastAsia" w:ascii="仿宋" w:hAnsi="仿宋" w:eastAsia="仿宋" w:cs="仿宋"/>
          <w:b/>
          <w:bCs/>
          <w:kern w:val="2"/>
          <w:sz w:val="32"/>
          <w:szCs w:val="32"/>
          <w:lang w:val="en-US" w:eastAsia="zh-CN" w:bidi="ar"/>
        </w:rPr>
        <w:t xml:space="preserve"> </w:t>
      </w:r>
    </w:p>
    <w:p>
      <w:pPr>
        <w:keepNext w:val="0"/>
        <w:keepLines w:val="0"/>
        <w:widowControl/>
        <w:suppressLineNumbers w:val="0"/>
        <w:spacing w:before="0" w:beforeAutospacing="1" w:after="0" w:afterAutospacing="1"/>
        <w:ind w:left="1325" w:leftChars="250" w:right="0" w:hanging="800" w:hangingChars="249"/>
        <w:jc w:val="center"/>
      </w:pPr>
      <w:r>
        <w:rPr>
          <w:rFonts w:hint="eastAsia" w:ascii="仿宋" w:hAnsi="仿宋" w:eastAsia="仿宋" w:cs="仿宋"/>
          <w:b/>
          <w:bCs/>
          <w:kern w:val="2"/>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D0CDC"/>
    <w:rsid w:val="1B4D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2021-07-01T08:57:00Z</dcterms:created>
  <dc:creator>Taidy杨</dc:creator>
  <cp:lastModifiedBy>Taidy杨</cp:lastModifiedBy>
  <dcterms:modified xsi:type="dcterms:W3CDTF">2021-07-01T08:59:35Z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4FDE86FE131A4B7A83938C13FED78C10</vt:lpwstr>
  </property>
</Properties>
</file>