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105" w:beforeAutospacing="0" w:after="105" w:afterAutospacing="0" w:line="540" w:lineRule="exact"/>
        <w:ind w:left="0" w:right="0"/>
        <w:jc w:val="center"/>
        <w:rPr>
          <w:rFonts w:ascii="华文中宋" w:hAnsi="华文中宋" w:eastAsia="华文中宋" w:cs="华文中宋"/>
          <w:b/>
          <w:bCs/>
          <w:i w:val="0"/>
          <w:iCs w:val="0"/>
          <w:caps w:val="0"/>
          <w:color w:val="333333"/>
          <w:spacing w:val="0"/>
          <w:kern w:val="0"/>
          <w:sz w:val="52"/>
          <w:szCs w:val="52"/>
          <w:shd w:val="clear" w:fill="FFFFFF"/>
          <w:lang w:val="en-US" w:eastAsia="zh-CN" w:bidi="ar"/>
        </w:rPr>
      </w:pPr>
      <w:bookmarkStart w:id="0" w:name="_GoBack"/>
      <w:r>
        <w:rPr>
          <w:rFonts w:ascii="华文中宋" w:hAnsi="华文中宋" w:eastAsia="华文中宋" w:cs="华文中宋"/>
          <w:b/>
          <w:bCs/>
          <w:i w:val="0"/>
          <w:iCs w:val="0"/>
          <w:caps w:val="0"/>
          <w:color w:val="333333"/>
          <w:spacing w:val="0"/>
          <w:kern w:val="0"/>
          <w:sz w:val="52"/>
          <w:szCs w:val="52"/>
          <w:shd w:val="clear" w:fill="FFFFFF"/>
          <w:lang w:val="en-US" w:eastAsia="zh-CN" w:bidi="ar"/>
        </w:rPr>
        <w:t>宿州市贸促会</w:t>
      </w:r>
      <w:r>
        <w:rPr>
          <w:rFonts w:hint="default" w:ascii="华文中宋" w:hAnsi="华文中宋" w:eastAsia="华文中宋" w:cs="华文中宋"/>
          <w:b/>
          <w:bCs/>
          <w:i w:val="0"/>
          <w:iCs w:val="0"/>
          <w:caps w:val="0"/>
          <w:color w:val="333333"/>
          <w:spacing w:val="0"/>
          <w:kern w:val="0"/>
          <w:sz w:val="52"/>
          <w:szCs w:val="52"/>
          <w:shd w:val="clear" w:fill="FFFFFF"/>
          <w:lang w:val="en-US" w:eastAsia="zh-CN" w:bidi="ar"/>
        </w:rPr>
        <w:t>2019年度部门决算</w:t>
      </w:r>
    </w:p>
    <w:bookmarkEnd w:id="0"/>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48"/>
          <w:szCs w:val="48"/>
          <w:lang w:val="en-US" w:eastAsia="zh-CN" w:bidi="ar"/>
        </w:rPr>
        <w:t>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8"/>
          <w:szCs w:val="28"/>
          <w:lang w:val="en-US" w:eastAsia="zh-CN" w:bidi="ar"/>
        </w:rPr>
        <w:t xml:space="preserve"> </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40" w:lineRule="exact"/>
        <w:ind w:left="0" w:right="0"/>
        <w:jc w:val="center"/>
      </w:pPr>
      <w:r>
        <w:rPr>
          <w:rFonts w:hint="default" w:ascii="楷体_GB2312" w:hAnsi="宋体" w:eastAsia="楷体_GB2312" w:cs="宋体"/>
          <w:b/>
          <w:bCs/>
          <w:kern w:val="0"/>
          <w:sz w:val="44"/>
          <w:szCs w:val="44"/>
        </w:rPr>
        <w:t>2020年8月</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rPr>
          <w:rFonts w:ascii="方正大标宋简体" w:hAnsi="方正大标宋简体" w:eastAsia="方正大标宋简体" w:cs="方正大标宋简体"/>
          <w:kern w:val="2"/>
          <w:sz w:val="48"/>
          <w:szCs w:val="48"/>
          <w:lang w:val="en-US" w:eastAsia="zh-CN" w:bidi="ar"/>
        </w:rPr>
      </w:pP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rPr>
          <w:rFonts w:ascii="方正大标宋简体" w:hAnsi="方正大标宋简体" w:eastAsia="方正大标宋简体" w:cs="方正大标宋简体"/>
          <w:kern w:val="2"/>
          <w:sz w:val="48"/>
          <w:szCs w:val="48"/>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jc w:val="center"/>
        <w:rPr>
          <w:rFonts w:hint="eastAsia" w:ascii="黑体" w:hAnsi="宋体" w:eastAsia="黑体" w:cs="黑体"/>
          <w:i w:val="0"/>
          <w:iCs w:val="0"/>
          <w:caps w:val="0"/>
          <w:color w:val="333333"/>
          <w:spacing w:val="0"/>
          <w:sz w:val="44"/>
          <w:szCs w:val="44"/>
          <w:shd w:val="clear" w:fill="FFFFFF"/>
        </w:rPr>
      </w:pPr>
      <w:r>
        <w:rPr>
          <w:rFonts w:hint="eastAsia" w:ascii="黑体" w:hAnsi="宋体" w:eastAsia="黑体" w:cs="黑体"/>
          <w:i w:val="0"/>
          <w:iCs w:val="0"/>
          <w:caps w:val="0"/>
          <w:color w:val="333333"/>
          <w:spacing w:val="0"/>
          <w:sz w:val="44"/>
          <w:szCs w:val="44"/>
          <w:shd w:val="clear" w:fill="FFFFFF"/>
          <w:lang w:val="en-US" w:eastAsia="zh-CN"/>
        </w:rPr>
        <w:t>目</w:t>
      </w:r>
      <w:r>
        <w:rPr>
          <w:rFonts w:hint="default" w:ascii="黑体" w:hAnsi="宋体" w:eastAsia="黑体" w:cs="黑体"/>
          <w:i w:val="0"/>
          <w:iCs w:val="0"/>
          <w:caps w:val="0"/>
          <w:color w:val="333333"/>
          <w:spacing w:val="0"/>
          <w:sz w:val="44"/>
          <w:szCs w:val="44"/>
          <w:shd w:val="clear" w:fill="FFFFFF"/>
          <w:lang w:val="en-US" w:eastAsia="zh-CN"/>
        </w:rPr>
        <w:t xml:space="preserve">  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第一部分 宿州市贸促会概况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一、部门职责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二、机构设置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第二部分 宿州市贸促会2019年度部门决算表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一、收入支出决算总表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二、收入决算表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三、支出决算表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四、财政拨款收入支出决算总表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五、一般公共预算财政拨款收入支出决算表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六、一般公共预算财政拨款基本支出决算表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七、政府性基金预算财政拨款收入支出决算表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第三部分 宿州市市贸促会2019年度部门决算情况说明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一、收入支出决算总体情况说明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二、收入决算情况说明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三、支出决算情况说明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四、财政拨款收入支出决算总体情况说明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五、一般公共预算财政拨款收入支出决算情况说明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六、一般公共预算财政拨款基本支出决算情况说明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七、政府性基金财政拨款收入支出决算情况说明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八、其他重要事项情况说明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right="0" w:firstLine="643"/>
        <w:jc w:val="left"/>
        <w:rPr>
          <w:rFonts w:ascii="仿宋_GB2312" w:hAnsi="微软雅黑" w:eastAsia="仿宋_GB2312" w:cs="仿宋_GB2312"/>
          <w:b/>
          <w:bCs/>
          <w:i w:val="0"/>
          <w:iCs w:val="0"/>
          <w:caps w:val="0"/>
          <w:color w:val="333333"/>
          <w:spacing w:val="0"/>
          <w:sz w:val="32"/>
          <w:szCs w:val="32"/>
          <w:shd w:val="clear" w:fill="FFFFFF"/>
        </w:rPr>
      </w:pPr>
      <w:r>
        <w:rPr>
          <w:rFonts w:hint="default" w:ascii="仿宋_GB2312" w:hAnsi="微软雅黑" w:eastAsia="仿宋_GB2312" w:cs="仿宋_GB2312"/>
          <w:b/>
          <w:bCs/>
          <w:i w:val="0"/>
          <w:iCs w:val="0"/>
          <w:caps w:val="0"/>
          <w:color w:val="333333"/>
          <w:spacing w:val="0"/>
          <w:sz w:val="32"/>
          <w:szCs w:val="32"/>
          <w:shd w:val="clear" w:fill="FFFFFF"/>
          <w:lang w:val="en-US" w:eastAsia="zh-CN"/>
        </w:rPr>
        <w:t>第四部分  名词解释</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b/>
          <w:bCs/>
          <w:kern w:val="2"/>
          <w:sz w:val="36"/>
          <w:szCs w:val="36"/>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default" w:ascii="仿宋_GB2312" w:hAnsi="宋体" w:eastAsia="仿宋_GB2312" w:cs="仿宋_GB2312"/>
          <w:b/>
          <w:bCs/>
          <w:kern w:val="2"/>
          <w:sz w:val="36"/>
          <w:szCs w:val="36"/>
          <w:lang w:val="en-US" w:eastAsia="zh-CN" w:bidi="ar"/>
        </w:rPr>
        <w:t>宿州市贸促会</w:t>
      </w:r>
      <w:r>
        <w:rPr>
          <w:rFonts w:hint="eastAsia" w:ascii="宋体" w:hAnsi="宋体" w:eastAsia="仿宋_GB2312" w:cs="宋体"/>
          <w:b/>
          <w:bCs/>
          <w:kern w:val="2"/>
          <w:sz w:val="36"/>
          <w:szCs w:val="36"/>
          <w:lang w:val="en-US" w:eastAsia="zh-CN" w:bidi="ar"/>
        </w:rPr>
        <w:t>2019</w:t>
      </w:r>
      <w:r>
        <w:rPr>
          <w:rFonts w:hint="default" w:ascii="仿宋_GB2312" w:hAnsi="宋体" w:eastAsia="仿宋_GB2312" w:cs="仿宋_GB2312"/>
          <w:b/>
          <w:bCs/>
          <w:kern w:val="2"/>
          <w:sz w:val="36"/>
          <w:szCs w:val="36"/>
          <w:lang w:val="en-US" w:eastAsia="zh-CN" w:bidi="ar"/>
        </w:rPr>
        <w:t>年度部门决算情况</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         第一部分 宿州市贸促会概况</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一、部门职责</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0"/>
          <w:sz w:val="32"/>
          <w:szCs w:val="32"/>
          <w:lang w:val="en-US" w:eastAsia="zh-CN" w:bidi="ar"/>
        </w:rPr>
        <w:t>根据宿组字〔</w:t>
      </w:r>
      <w:r>
        <w:rPr>
          <w:rFonts w:hint="default" w:ascii="仿宋_GB2312" w:hAnsi="仿宋" w:eastAsia="仿宋_GB2312" w:cs="宋体"/>
          <w:kern w:val="0"/>
          <w:sz w:val="32"/>
          <w:szCs w:val="32"/>
          <w:lang w:val="en-US" w:eastAsia="zh-CN" w:bidi="ar"/>
        </w:rPr>
        <w:t>2007〕111号文件和宿组字〔2011〕93号文件规定，贸促会为参公单位，人员为参公人员。根据宿编〔2012〕57号文件规定，贸促会由市政府管理，与商务局合署，单独核定编制3名，常务副会长一名（由正处级干部担任）。贸促会的主要职能是:围绕中心工作，服务于外交和外经贸大局，促进国际贸易、促进利用外资、促进企业国际化经营、促进经济合作，简而言之，就是“四促”。</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二、机构设置</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从决算单位构成看，宿州市贸促会2019年度部门决算包括：宿州市贸促会本级决算，与预算比较</w:t>
      </w:r>
      <w:r>
        <w:rPr>
          <w:rFonts w:hint="default" w:ascii="楷体_GB2312" w:hAnsi="仿宋" w:eastAsia="楷体_GB2312" w:cs="楷体_GB2312"/>
          <w:kern w:val="2"/>
          <w:sz w:val="32"/>
          <w:szCs w:val="32"/>
          <w:lang w:val="en-US" w:eastAsia="zh-CN" w:bidi="ar"/>
        </w:rPr>
        <w:t>，没有变化</w:t>
      </w:r>
      <w:r>
        <w:rPr>
          <w:rFonts w:hint="default" w:ascii="仿宋_GB2312" w:hAnsi="仿宋" w:eastAsia="仿宋_GB2312" w:cs="仿宋_GB2312"/>
          <w:kern w:val="2"/>
          <w:sz w:val="32"/>
          <w:szCs w:val="32"/>
          <w:lang w:val="en-US" w:eastAsia="zh-CN" w:bidi="ar"/>
        </w:rPr>
        <w:t>。</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纳入宿州市贸促会2019年度部门决算编制范围的二级单位共0个，详细情况见下表：</w:t>
      </w:r>
    </w:p>
    <w:tbl>
      <w:tblPr>
        <w:tblW w:w="0" w:type="auto"/>
        <w:tblInd w:w="828" w:type="dxa"/>
        <w:shd w:val="clear"/>
        <w:tblLayout w:type="fixed"/>
        <w:tblCellMar>
          <w:top w:w="0" w:type="dxa"/>
          <w:left w:w="0" w:type="dxa"/>
          <w:bottom w:w="0" w:type="dxa"/>
          <w:right w:w="0" w:type="dxa"/>
        </w:tblCellMar>
      </w:tblPr>
      <w:tblGrid>
        <w:gridCol w:w="1389"/>
        <w:gridCol w:w="5837"/>
      </w:tblGrid>
      <w:tr>
        <w:tblPrEx>
          <w:shd w:val="clear"/>
          <w:tblCellMar>
            <w:top w:w="0" w:type="dxa"/>
            <w:left w:w="0" w:type="dxa"/>
            <w:bottom w:w="0" w:type="dxa"/>
            <w:right w:w="0" w:type="dxa"/>
          </w:tblCellMar>
        </w:tblPrEx>
        <w:trPr>
          <w:trHeight w:val="397" w:hRule="atLeast"/>
        </w:trPr>
        <w:tc>
          <w:tcPr>
            <w:tcW w:w="138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default" w:ascii="宋体" w:hAnsi="宋体" w:eastAsia="仿宋_GB2312" w:cs="仿宋_GB2312"/>
                <w:kern w:val="2"/>
                <w:sz w:val="24"/>
                <w:szCs w:val="24"/>
                <w:bdr w:val="none" w:color="auto" w:sz="0" w:space="0"/>
                <w:lang w:val="en-US" w:eastAsia="zh-CN" w:bidi="ar"/>
              </w:rPr>
              <w:t>序号</w:t>
            </w:r>
          </w:p>
        </w:tc>
        <w:tc>
          <w:tcPr>
            <w:tcW w:w="58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default" w:ascii="宋体" w:hAnsi="宋体" w:eastAsia="仿宋_GB2312" w:cs="仿宋_GB2312"/>
                <w:kern w:val="2"/>
                <w:sz w:val="24"/>
                <w:szCs w:val="24"/>
                <w:bdr w:val="none" w:color="auto" w:sz="0" w:space="0"/>
                <w:lang w:val="en-US" w:eastAsia="zh-CN" w:bidi="ar"/>
              </w:rPr>
              <w:t>单位名称</w:t>
            </w:r>
          </w:p>
        </w:tc>
      </w:tr>
      <w:tr>
        <w:tblPrEx>
          <w:tblCellMar>
            <w:top w:w="0" w:type="dxa"/>
            <w:left w:w="0" w:type="dxa"/>
            <w:bottom w:w="0" w:type="dxa"/>
            <w:right w:w="0" w:type="dxa"/>
          </w:tblCellMar>
        </w:tblPrEx>
        <w:trPr>
          <w:trHeight w:val="397" w:hRule="atLeast"/>
        </w:trPr>
        <w:tc>
          <w:tcPr>
            <w:tcW w:w="13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default" w:ascii="宋体" w:hAnsi="宋体" w:eastAsia="仿宋_GB2312" w:cs="仿宋_GB2312"/>
                <w:kern w:val="2"/>
                <w:sz w:val="24"/>
                <w:szCs w:val="24"/>
                <w:bdr w:val="none" w:color="auto" w:sz="0" w:space="0"/>
                <w:lang w:val="en-US" w:eastAsia="zh-CN" w:bidi="ar"/>
              </w:rPr>
              <w:t>1</w:t>
            </w:r>
          </w:p>
        </w:tc>
        <w:tc>
          <w:tcPr>
            <w:tcW w:w="5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宋体" w:hAnsi="宋体" w:eastAsia="仿宋_GB2312" w:cs="仿宋_GB2312"/>
                <w:kern w:val="2"/>
                <w:sz w:val="24"/>
                <w:szCs w:val="24"/>
                <w:bdr w:val="none" w:color="auto" w:sz="0" w:space="0"/>
                <w:lang w:val="en-US" w:eastAsia="zh-CN" w:bidi="ar"/>
              </w:rPr>
              <w:t>宿州市贸促会本级</w:t>
            </w:r>
          </w:p>
        </w:tc>
      </w:tr>
    </w:tbl>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宋体" w:eastAsia="仿宋_GB2312" w:cs="仿宋_GB2312"/>
          <w:kern w:val="2"/>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    第二部分 宿州市贸促会2019年度部门决算表</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center"/>
      </w:pPr>
      <w:r>
        <w:rPr>
          <w:rFonts w:hint="eastAsia" w:ascii="黑体" w:hAnsi="宋体" w:eastAsia="黑体" w:cs="黑体"/>
          <w:kern w:val="2"/>
          <w:sz w:val="32"/>
          <w:szCs w:val="32"/>
          <w:lang w:val="en-US" w:eastAsia="zh-CN" w:bidi="ar"/>
        </w:rPr>
        <w:t>收入支出决算总表</w:t>
      </w:r>
    </w:p>
    <w:tbl>
      <w:tblPr>
        <w:tblW w:w="0" w:type="auto"/>
        <w:tblInd w:w="93" w:type="dxa"/>
        <w:shd w:val="clear"/>
        <w:tblLayout w:type="autofit"/>
        <w:tblCellMar>
          <w:top w:w="15" w:type="dxa"/>
          <w:left w:w="15" w:type="dxa"/>
          <w:bottom w:w="15" w:type="dxa"/>
          <w:right w:w="15" w:type="dxa"/>
        </w:tblCellMar>
      </w:tblPr>
      <w:tblGrid>
        <w:gridCol w:w="1943"/>
        <w:gridCol w:w="1212"/>
        <w:gridCol w:w="1190"/>
        <w:gridCol w:w="1991"/>
        <w:gridCol w:w="1099"/>
        <w:gridCol w:w="994"/>
      </w:tblGrid>
      <w:tr>
        <w:tblPrEx>
          <w:shd w:val="clear"/>
          <w:tblCellMar>
            <w:top w:w="15" w:type="dxa"/>
            <w:left w:w="15" w:type="dxa"/>
            <w:bottom w:w="15" w:type="dxa"/>
            <w:right w:w="15" w:type="dxa"/>
          </w:tblCellMar>
        </w:tblPrEx>
        <w:trPr>
          <w:trHeight w:val="256" w:hRule="atLeast"/>
        </w:trPr>
        <w:tc>
          <w:tcPr>
            <w:tcW w:w="2085" w:type="dxa"/>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ascii="Arial" w:hAnsi="Arial" w:eastAsia="宋体" w:cs="宋体"/>
                <w:kern w:val="0"/>
                <w:sz w:val="20"/>
                <w:szCs w:val="20"/>
                <w:lang w:val="en-US" w:eastAsia="zh-CN" w:bidi="ar"/>
              </w:rPr>
              <w:t> </w:t>
            </w:r>
          </w:p>
        </w:tc>
        <w:tc>
          <w:tcPr>
            <w:tcW w:w="2625" w:type="dxa"/>
            <w:gridSpan w:val="2"/>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lang w:val="en-US" w:eastAsia="zh-CN" w:bidi="ar"/>
              </w:rPr>
              <w:t> </w:t>
            </w:r>
          </w:p>
        </w:tc>
        <w:tc>
          <w:tcPr>
            <w:tcW w:w="2191" w:type="dxa"/>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lang w:val="en-US" w:eastAsia="zh-CN" w:bidi="ar"/>
              </w:rPr>
              <w:t> </w:t>
            </w:r>
          </w:p>
        </w:tc>
        <w:tc>
          <w:tcPr>
            <w:tcW w:w="2279" w:type="dxa"/>
            <w:gridSpan w:val="2"/>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0"/>
                <w:szCs w:val="20"/>
                <w:lang w:val="en-US" w:eastAsia="zh-CN" w:bidi="ar"/>
              </w:rPr>
              <w:t>公开01表</w:t>
            </w:r>
          </w:p>
        </w:tc>
      </w:tr>
      <w:tr>
        <w:tblPrEx>
          <w:tblCellMar>
            <w:top w:w="15" w:type="dxa"/>
            <w:left w:w="15" w:type="dxa"/>
            <w:bottom w:w="15" w:type="dxa"/>
            <w:right w:w="15" w:type="dxa"/>
          </w:tblCellMar>
        </w:tblPrEx>
        <w:trPr>
          <w:trHeight w:val="271" w:hRule="atLeast"/>
        </w:trPr>
        <w:tc>
          <w:tcPr>
            <w:tcW w:w="2085" w:type="dxa"/>
            <w:tcBorders>
              <w:top w:val="nil"/>
              <w:left w:val="nil"/>
              <w:bottom w:val="single" w:color="auto" w:sz="8" w:space="0"/>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lang w:val="en-US" w:eastAsia="zh-CN" w:bidi="ar"/>
              </w:rPr>
              <w:t>部门：</w:t>
            </w:r>
          </w:p>
        </w:tc>
        <w:tc>
          <w:tcPr>
            <w:tcW w:w="2625" w:type="dxa"/>
            <w:gridSpan w:val="2"/>
            <w:tcBorders>
              <w:top w:val="nil"/>
              <w:left w:val="nil"/>
              <w:bottom w:val="single" w:color="auto" w:sz="8" w:space="0"/>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lang w:val="en-US" w:eastAsia="zh-CN" w:bidi="ar"/>
              </w:rPr>
              <w:t> </w:t>
            </w:r>
          </w:p>
        </w:tc>
        <w:tc>
          <w:tcPr>
            <w:tcW w:w="2191" w:type="dxa"/>
            <w:tcBorders>
              <w:top w:val="nil"/>
              <w:left w:val="nil"/>
              <w:bottom w:val="single" w:color="auto" w:sz="8" w:space="0"/>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4"/>
                <w:szCs w:val="24"/>
                <w:lang w:val="en-US" w:eastAsia="zh-CN" w:bidi="ar"/>
              </w:rPr>
              <w:t> </w:t>
            </w:r>
          </w:p>
        </w:tc>
        <w:tc>
          <w:tcPr>
            <w:tcW w:w="2279" w:type="dxa"/>
            <w:gridSpan w:val="2"/>
            <w:tcBorders>
              <w:top w:val="nil"/>
              <w:left w:val="nil"/>
              <w:bottom w:val="single" w:color="auto" w:sz="8" w:space="0"/>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18"/>
                <w:szCs w:val="18"/>
                <w:lang w:val="en-US" w:eastAsia="zh-CN" w:bidi="ar"/>
              </w:rPr>
              <w:t>金额单位：万元</w:t>
            </w:r>
          </w:p>
        </w:tc>
      </w:tr>
      <w:tr>
        <w:tblPrEx>
          <w:tblCellMar>
            <w:top w:w="15" w:type="dxa"/>
            <w:left w:w="15" w:type="dxa"/>
            <w:bottom w:w="15" w:type="dxa"/>
            <w:right w:w="15" w:type="dxa"/>
          </w:tblCellMar>
        </w:tblPrEx>
        <w:trPr>
          <w:trHeight w:val="271" w:hRule="atLeast"/>
        </w:trPr>
        <w:tc>
          <w:tcPr>
            <w:tcW w:w="4710"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收入</w:t>
            </w:r>
          </w:p>
        </w:tc>
        <w:tc>
          <w:tcPr>
            <w:tcW w:w="4470"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支出</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项 目</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金额</w:t>
            </w:r>
          </w:p>
        </w:tc>
        <w:tc>
          <w:tcPr>
            <w:tcW w:w="3443"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项目</w:t>
            </w:r>
          </w:p>
        </w:tc>
        <w:tc>
          <w:tcPr>
            <w:tcW w:w="102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金额</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60" w:firstLineChars="300"/>
              <w:jc w:val="left"/>
            </w:pPr>
            <w:r>
              <w:rPr>
                <w:rFonts w:hint="eastAsia" w:ascii="宋体" w:hAnsi="宋体" w:eastAsia="宋体" w:cs="宋体"/>
                <w:kern w:val="0"/>
                <w:sz w:val="22"/>
                <w:szCs w:val="22"/>
                <w:lang w:val="en-US" w:eastAsia="zh-CN" w:bidi="ar"/>
              </w:rPr>
              <w:t>栏 次</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2"/>
                <w:sz w:val="22"/>
                <w:szCs w:val="22"/>
                <w:lang w:val="en-US" w:eastAsia="zh-CN" w:bidi="ar"/>
              </w:rPr>
              <w:t>一、一般公共预算财政拨款收入</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50.36</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一、一般公共服务支出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50.40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2"/>
                <w:sz w:val="22"/>
                <w:szCs w:val="22"/>
                <w:lang w:val="en-US" w:eastAsia="zh-CN" w:bidi="ar"/>
              </w:rPr>
              <w:t>二、政府性基金预算财政拨款收入</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二、外交支出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2"/>
                <w:sz w:val="22"/>
                <w:szCs w:val="22"/>
                <w:lang w:val="en-US" w:eastAsia="zh-CN" w:bidi="ar"/>
              </w:rPr>
              <w:t>三、上级补助收入</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三、国防支出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2"/>
                <w:sz w:val="22"/>
                <w:szCs w:val="22"/>
                <w:lang w:val="en-US" w:eastAsia="zh-CN" w:bidi="ar"/>
              </w:rPr>
              <w:t>四、事业收入</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四、公共安全支出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2"/>
                <w:sz w:val="22"/>
                <w:szCs w:val="22"/>
                <w:lang w:val="en-US" w:eastAsia="zh-CN" w:bidi="ar"/>
              </w:rPr>
              <w:t>五、经营收入</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五、教育支出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2"/>
                <w:sz w:val="22"/>
                <w:szCs w:val="22"/>
                <w:lang w:val="en-US" w:eastAsia="zh-CN" w:bidi="ar"/>
              </w:rPr>
              <w:t>六、附属单位上缴收入</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六、科学技术支出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2"/>
                <w:sz w:val="22"/>
                <w:szCs w:val="22"/>
                <w:lang w:val="en-US" w:eastAsia="zh-CN" w:bidi="ar"/>
              </w:rPr>
              <w:t>七、其他收入</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七、文化旅游体育与传媒支出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八、社会保障和就业支出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2.92</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九、卫生健康支出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1.29</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十、节能环保支出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十一、城乡社区支出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十二、农林水支出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十三、交通运输支出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十四、资源勘探信息等支出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十五、商业服务业等支出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十六、金融支出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十七、援助其他地区支出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十八、自然资源海洋气象等支出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十九、住房保障支出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2.41</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二十、粮油物资储备支出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二十一、灾害防治及应急管理支出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0"/>
                <w:szCs w:val="20"/>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二十二、其他支出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二十三、债务还本支出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b/>
                <w:bCs/>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二十四、债务付息支出</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b/>
                <w:bCs/>
                <w:kern w:val="0"/>
                <w:sz w:val="22"/>
                <w:szCs w:val="22"/>
                <w:lang w:val="en-US" w:eastAsia="zh-CN" w:bidi="ar"/>
              </w:rPr>
              <w:t>本年收入合计</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50.36</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b/>
                <w:bCs/>
                <w:kern w:val="0"/>
                <w:sz w:val="22"/>
                <w:szCs w:val="22"/>
                <w:lang w:val="en-US" w:eastAsia="zh-CN" w:bidi="ar"/>
              </w:rPr>
              <w:t>本年支出合计</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xml:space="preserve"> 用事业基金弥补收支差额</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0</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结余分配</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0</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xml:space="preserve"> 年初结转和结余</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13.66</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年末结转和结余</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7</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 </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 </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 </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tc>
      </w:tr>
      <w:tr>
        <w:tblPrEx>
          <w:tblCellMar>
            <w:top w:w="15" w:type="dxa"/>
            <w:left w:w="15" w:type="dxa"/>
            <w:bottom w:w="15" w:type="dxa"/>
            <w:right w:w="15" w:type="dxa"/>
          </w:tblCellMar>
        </w:tblPrEx>
        <w:trPr>
          <w:trHeight w:val="271" w:hRule="atLeast"/>
        </w:trPr>
        <w:tc>
          <w:tcPr>
            <w:tcW w:w="345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b/>
                <w:bCs/>
                <w:kern w:val="0"/>
                <w:sz w:val="22"/>
                <w:szCs w:val="22"/>
                <w:lang w:val="en-US" w:eastAsia="zh-CN" w:bidi="ar"/>
              </w:rPr>
              <w:t>总计</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64.02</w:t>
            </w:r>
          </w:p>
        </w:tc>
        <w:tc>
          <w:tcPr>
            <w:tcW w:w="3443"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b/>
                <w:bCs/>
                <w:kern w:val="0"/>
                <w:sz w:val="22"/>
                <w:szCs w:val="22"/>
                <w:lang w:val="en-US" w:eastAsia="zh-CN" w:bidi="ar"/>
              </w:rPr>
              <w:t>总计</w:t>
            </w:r>
          </w:p>
        </w:tc>
        <w:tc>
          <w:tcPr>
            <w:tcW w:w="1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64.02</w:t>
            </w:r>
          </w:p>
        </w:tc>
      </w:tr>
    </w:tbl>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rPr>
          <w:rFonts w:hint="eastAsia" w:ascii="黑体" w:hAnsi="宋体" w:eastAsia="黑体" w:cs="黑体"/>
          <w:kern w:val="2"/>
          <w:sz w:val="32"/>
          <w:szCs w:val="32"/>
          <w:lang w:val="en-US" w:eastAsia="zh-CN" w:bidi="ar"/>
        </w:rPr>
      </w:pP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rPr>
          <w:rFonts w:hint="eastAsia" w:ascii="黑体" w:hAnsi="宋体" w:eastAsia="黑体" w:cs="黑体"/>
          <w:kern w:val="2"/>
          <w:sz w:val="32"/>
          <w:szCs w:val="32"/>
          <w:lang w:val="en-US" w:eastAsia="zh-CN" w:bidi="ar"/>
        </w:rPr>
      </w:pP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rPr>
          <w:rFonts w:hint="eastAsia" w:ascii="黑体" w:hAnsi="宋体" w:eastAsia="黑体" w:cs="黑体"/>
          <w:kern w:val="2"/>
          <w:sz w:val="32"/>
          <w:szCs w:val="32"/>
          <w:lang w:val="en-US" w:eastAsia="zh-CN" w:bidi="ar"/>
        </w:rPr>
      </w:pP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黑体" w:hAnsi="宋体" w:eastAsia="黑体" w:cs="黑体"/>
          <w:kern w:val="2"/>
          <w:sz w:val="32"/>
          <w:szCs w:val="32"/>
          <w:lang w:val="en-US" w:eastAsia="zh-CN" w:bidi="ar"/>
        </w:rPr>
        <w:t xml:space="preserve">收入决算表                                 </w:t>
      </w:r>
    </w:p>
    <w:tbl>
      <w:tblPr>
        <w:tblW w:w="0" w:type="auto"/>
        <w:tblInd w:w="0" w:type="dxa"/>
        <w:shd w:val="clear"/>
        <w:tblLayout w:type="autofit"/>
        <w:tblCellMar>
          <w:top w:w="15" w:type="dxa"/>
          <w:left w:w="15" w:type="dxa"/>
          <w:bottom w:w="15" w:type="dxa"/>
          <w:right w:w="15" w:type="dxa"/>
        </w:tblCellMar>
      </w:tblPr>
      <w:tblGrid>
        <w:gridCol w:w="1337"/>
        <w:gridCol w:w="1331"/>
        <w:gridCol w:w="955"/>
        <w:gridCol w:w="955"/>
        <w:gridCol w:w="706"/>
        <w:gridCol w:w="490"/>
        <w:gridCol w:w="818"/>
        <w:gridCol w:w="245"/>
        <w:gridCol w:w="245"/>
        <w:gridCol w:w="891"/>
        <w:gridCol w:w="512"/>
        <w:gridCol w:w="37"/>
      </w:tblGrid>
      <w:tr>
        <w:tblPrEx>
          <w:shd w:val="clear"/>
          <w:tblCellMar>
            <w:top w:w="15" w:type="dxa"/>
            <w:left w:w="15" w:type="dxa"/>
            <w:bottom w:w="15" w:type="dxa"/>
            <w:right w:w="15" w:type="dxa"/>
          </w:tblCellMar>
        </w:tblPrEx>
        <w:trPr>
          <w:trHeight w:val="271" w:hRule="atLeast"/>
        </w:trPr>
        <w:tc>
          <w:tcPr>
            <w:tcW w:w="0" w:type="auto"/>
            <w:gridSpan w:val="2"/>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lang w:val="en-US" w:eastAsia="zh-CN" w:bidi="ar"/>
              </w:rPr>
              <w:t> </w:t>
            </w:r>
          </w:p>
        </w:tc>
        <w:tc>
          <w:tcPr>
            <w:tcW w:w="0" w:type="auto"/>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lang w:val="en-US" w:eastAsia="zh-CN" w:bidi="ar"/>
              </w:rPr>
              <w:t> </w:t>
            </w:r>
          </w:p>
        </w:tc>
        <w:tc>
          <w:tcPr>
            <w:tcW w:w="0" w:type="auto"/>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lang w:val="en-US" w:eastAsia="zh-CN" w:bidi="ar"/>
              </w:rPr>
              <w:t> </w:t>
            </w:r>
          </w:p>
        </w:tc>
        <w:tc>
          <w:tcPr>
            <w:tcW w:w="0" w:type="auto"/>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0"/>
                <w:szCs w:val="20"/>
                <w:lang w:val="en-US" w:eastAsia="zh-CN" w:bidi="ar"/>
              </w:rPr>
              <w:t> </w:t>
            </w:r>
          </w:p>
        </w:tc>
        <w:tc>
          <w:tcPr>
            <w:tcW w:w="0" w:type="auto"/>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lang w:val="en-US" w:eastAsia="zh-CN" w:bidi="ar"/>
              </w:rPr>
              <w:t> </w:t>
            </w:r>
          </w:p>
        </w:tc>
        <w:tc>
          <w:tcPr>
            <w:tcW w:w="0" w:type="auto"/>
            <w:gridSpan w:val="2"/>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wordWrap w:val="0"/>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0"/>
                <w:szCs w:val="20"/>
                <w:lang w:val="en-US" w:eastAsia="zh-CN" w:bidi="ar"/>
              </w:rPr>
              <w:t> </w:t>
            </w:r>
          </w:p>
        </w:tc>
        <w:tc>
          <w:tcPr>
            <w:tcW w:w="0" w:type="auto"/>
            <w:gridSpan w:val="4"/>
            <w:tcBorders>
              <w:top w:val="nil"/>
              <w:left w:val="nil"/>
              <w:bottom w:val="nil"/>
              <w:right w:val="nil"/>
            </w:tcBorders>
            <w:shd w:val="clear"/>
            <w:tcMar>
              <w:left w:w="108" w:type="dxa"/>
              <w:right w:w="108" w:type="dxa"/>
            </w:tcMar>
            <w:vAlign w:val="top"/>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97" w:firstLine="500" w:firstLineChars="250"/>
              <w:jc w:val="left"/>
            </w:pPr>
            <w:r>
              <w:rPr>
                <w:rFonts w:hint="eastAsia" w:ascii="宋体" w:hAnsi="宋体" w:eastAsia="宋体" w:cs="宋体"/>
                <w:kern w:val="0"/>
                <w:sz w:val="20"/>
                <w:szCs w:val="20"/>
                <w:lang w:val="en-US" w:eastAsia="zh-CN" w:bidi="ar"/>
              </w:rPr>
              <w:t>公开02表</w:t>
            </w:r>
          </w:p>
        </w:tc>
      </w:tr>
      <w:tr>
        <w:tblPrEx>
          <w:tblCellMar>
            <w:top w:w="15" w:type="dxa"/>
            <w:left w:w="15" w:type="dxa"/>
            <w:bottom w:w="15" w:type="dxa"/>
            <w:right w:w="15" w:type="dxa"/>
          </w:tblCellMar>
        </w:tblPrEx>
        <w:trPr>
          <w:trHeight w:val="271" w:hRule="atLeast"/>
        </w:trPr>
        <w:tc>
          <w:tcPr>
            <w:tcW w:w="0" w:type="auto"/>
            <w:gridSpan w:val="2"/>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lang w:val="en-US" w:eastAsia="zh-CN" w:bidi="ar"/>
              </w:rPr>
              <w:t>部门：</w:t>
            </w:r>
          </w:p>
        </w:tc>
        <w:tc>
          <w:tcPr>
            <w:tcW w:w="0" w:type="auto"/>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lang w:val="en-US" w:eastAsia="zh-CN" w:bidi="ar"/>
              </w:rPr>
              <w:t> </w:t>
            </w:r>
          </w:p>
        </w:tc>
        <w:tc>
          <w:tcPr>
            <w:tcW w:w="0" w:type="auto"/>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lang w:val="en-US" w:eastAsia="zh-CN" w:bidi="ar"/>
              </w:rPr>
              <w:t> </w:t>
            </w:r>
          </w:p>
        </w:tc>
        <w:tc>
          <w:tcPr>
            <w:tcW w:w="0" w:type="auto"/>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0"/>
                <w:szCs w:val="20"/>
                <w:lang w:val="en-US" w:eastAsia="zh-CN" w:bidi="ar"/>
              </w:rPr>
              <w:t> </w:t>
            </w:r>
          </w:p>
        </w:tc>
        <w:tc>
          <w:tcPr>
            <w:tcW w:w="0" w:type="auto"/>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lang w:val="en-US" w:eastAsia="zh-CN" w:bidi="ar"/>
              </w:rPr>
              <w:t> </w:t>
            </w:r>
          </w:p>
        </w:tc>
        <w:tc>
          <w:tcPr>
            <w:tcW w:w="0" w:type="auto"/>
            <w:gridSpan w:val="2"/>
            <w:tcBorders>
              <w:top w:val="nil"/>
              <w:left w:val="nil"/>
              <w:bottom w:val="nil"/>
              <w:right w:val="nil"/>
            </w:tcBorders>
            <w:shd w:val="clear"/>
            <w:tcMar>
              <w:left w:w="108" w:type="dxa"/>
              <w:right w:w="108" w:type="dxa"/>
            </w:tcM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60"/>
              <w:jc w:val="right"/>
            </w:pPr>
            <w:r>
              <w:rPr>
                <w:rFonts w:hint="eastAsia" w:ascii="宋体" w:hAnsi="宋体" w:eastAsia="宋体" w:cs="宋体"/>
                <w:kern w:val="0"/>
                <w:sz w:val="20"/>
                <w:szCs w:val="20"/>
                <w:lang w:val="en-US" w:eastAsia="zh-CN" w:bidi="ar"/>
              </w:rPr>
              <w:t> </w:t>
            </w:r>
          </w:p>
        </w:tc>
        <w:tc>
          <w:tcPr>
            <w:tcW w:w="0" w:type="auto"/>
            <w:gridSpan w:val="4"/>
            <w:tcBorders>
              <w:top w:val="nil"/>
              <w:left w:val="nil"/>
              <w:bottom w:val="nil"/>
              <w:right w:val="nil"/>
            </w:tcBorders>
            <w:shd w:val="clear"/>
            <w:tcMar>
              <w:left w:w="108" w:type="dxa"/>
              <w:right w:w="108" w:type="dxa"/>
            </w:tcMar>
            <w:vAlign w:val="top"/>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448"/>
              <w:jc w:val="left"/>
            </w:pPr>
            <w:r>
              <w:rPr>
                <w:rFonts w:hint="eastAsia" w:ascii="宋体" w:hAnsi="宋体" w:eastAsia="宋体" w:cs="宋体"/>
                <w:kern w:val="0"/>
                <w:sz w:val="16"/>
                <w:szCs w:val="16"/>
                <w:lang w:val="en-US" w:eastAsia="zh-CN" w:bidi="ar"/>
              </w:rPr>
              <w:t>金额单位：万元</w:t>
            </w:r>
          </w:p>
        </w:tc>
      </w:tr>
      <w:tr>
        <w:tblPrEx>
          <w:tblCellMar>
            <w:top w:w="15" w:type="dxa"/>
            <w:left w:w="15" w:type="dxa"/>
            <w:bottom w:w="15" w:type="dxa"/>
            <w:right w:w="15" w:type="dxa"/>
          </w:tblCellMar>
        </w:tblPrEx>
        <w:trPr>
          <w:wAfter w:w="0" w:type="auto"/>
          <w:trHeight w:val="420" w:hRule="atLeast"/>
        </w:trPr>
        <w:tc>
          <w:tcPr>
            <w:tcW w:w="0" w:type="auto"/>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项目</w:t>
            </w:r>
          </w:p>
        </w:tc>
        <w:tc>
          <w:tcPr>
            <w:tcW w:w="0" w:type="auto"/>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本年收入合计</w:t>
            </w:r>
          </w:p>
        </w:tc>
        <w:tc>
          <w:tcPr>
            <w:tcW w:w="0" w:type="auto"/>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财政拨款收入</w:t>
            </w:r>
          </w:p>
        </w:tc>
        <w:tc>
          <w:tcPr>
            <w:tcW w:w="0" w:type="auto"/>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上级补助收入</w:t>
            </w:r>
          </w:p>
        </w:tc>
        <w:tc>
          <w:tcPr>
            <w:tcW w:w="0" w:type="auto"/>
            <w:gridSpan w:val="2"/>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事业收入</w:t>
            </w:r>
          </w:p>
        </w:tc>
        <w:tc>
          <w:tcPr>
            <w:tcW w:w="0" w:type="auto"/>
            <w:gridSpan w:val="2"/>
            <w:vMerge w:val="restar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经营</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收入</w:t>
            </w:r>
          </w:p>
        </w:tc>
        <w:tc>
          <w:tcPr>
            <w:tcW w:w="0" w:type="auto"/>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附属单位上缴收入</w:t>
            </w:r>
          </w:p>
        </w:tc>
        <w:tc>
          <w:tcPr>
            <w:tcW w:w="0" w:type="auto"/>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其他</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收入</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330" w:hRule="atLeast"/>
        </w:trPr>
        <w:tc>
          <w:tcPr>
            <w:tcW w:w="0" w:type="auto"/>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支出功能分类科目编码</w:t>
            </w:r>
          </w:p>
        </w:tc>
        <w:tc>
          <w:tcPr>
            <w:tcW w:w="0" w:type="auto"/>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科目名称</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780" w:hRule="atLeast"/>
        </w:trPr>
        <w:tc>
          <w:tcPr>
            <w:tcW w:w="0" w:type="auto"/>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小计</w:t>
            </w:r>
          </w:p>
        </w:tc>
        <w:tc>
          <w:tcPr>
            <w:tcW w:w="0" w:type="auto"/>
            <w:tcBorders>
              <w:top w:val="nil"/>
              <w:left w:val="nil"/>
              <w:bottom w:val="single" w:color="auto" w:sz="8" w:space="0"/>
              <w:right w:val="single" w:color="auto" w:sz="8" w:space="0"/>
            </w:tcBorders>
            <w:shd w:val="clear"/>
            <w:tcMar>
              <w:left w:w="108" w:type="dxa"/>
              <w:right w:w="108" w:type="dxa"/>
            </w:tcMar>
            <w:vAlign w:val="top"/>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其中：教育</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lang w:val="en-US" w:eastAsia="zh-CN" w:bidi="ar"/>
              </w:rPr>
              <w:t>收费</w:t>
            </w:r>
          </w:p>
        </w:tc>
        <w:tc>
          <w:tcPr>
            <w:tcW w:w="0" w:type="auto"/>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420"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栏次</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lang w:val="en-US" w:eastAsia="zh-CN" w:bidi="ar"/>
              </w:rPr>
              <w:t>合计</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50.36</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lang w:val="en-US" w:eastAsia="zh-CN" w:bidi="ar"/>
              </w:rPr>
              <w:t>50.36</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43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201</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一般公共服务支出</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43.74</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43.74</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64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20103</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政府办公厅（室）及相关机构事务</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2.27</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2.27</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52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2010301</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行政运行</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2.27</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2.27</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420"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20113</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商贸事务</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41.47</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41.47</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52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2011301</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行政运行</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36.93</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36.93</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52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2011302</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一般行政管理事务</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4.54</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4.54</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43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208</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社会保障和就业支出</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2.92</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2.92</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43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20805</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行政事业单位离退休</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2.92</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2.92</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64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2080505</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机关事业单位基本养老保险缴费支出</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2.92</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2.92</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420"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210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卫生健康支出</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1.29</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1.29</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43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21011</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行政事业单位医疗</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1.29</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1.29</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52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2101101</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行政单位医疗</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0.97</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0.97</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52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2101103</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公务员医疗补助</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0.32</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0.32</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420"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221</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住房保障支出</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2.41</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2.41</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420"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22102</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住房改革支出</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2.41</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2.41</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52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2210201</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 xml:space="preserve">  住房公积金</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1.93</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1.93</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5" w:type="dxa"/>
            <w:bottom w:w="15" w:type="dxa"/>
            <w:right w:w="15" w:type="dxa"/>
          </w:tblCellMar>
        </w:tblPrEx>
        <w:trPr>
          <w:wAfter w:w="0" w:type="auto"/>
          <w:trHeight w:val="525" w:hRule="atLeast"/>
        </w:trPr>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lang w:val="en-US" w:eastAsia="zh-CN" w:bidi="ar"/>
              </w:rPr>
              <w:t>2210202</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lang w:val="en-US" w:eastAsia="zh-CN" w:bidi="ar"/>
              </w:rPr>
              <w:t xml:space="preserve">  提租补贴</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0.48</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lang w:val="en-US" w:eastAsia="zh-CN" w:bidi="ar"/>
              </w:rPr>
              <w:t>0.48</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lang w:val="en-US" w:eastAsia="zh-CN" w:bidi="ar"/>
              </w:rPr>
              <w:t>　0</w:t>
            </w:r>
          </w:p>
        </w:tc>
        <w:tc>
          <w:tcPr>
            <w:tcW w:w="0" w:type="auto"/>
            <w:tcBorders>
              <w:top w:val="nil"/>
              <w:left w:val="nil"/>
              <w:bottom w:val="nil"/>
              <w:right w:val="nil"/>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bl>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center"/>
      </w:pPr>
      <w:r>
        <w:rPr>
          <w:rFonts w:hint="eastAsia" w:ascii="黑体" w:hAnsi="宋体" w:eastAsia="黑体" w:cs="黑体"/>
          <w:kern w:val="2"/>
          <w:sz w:val="32"/>
          <w:szCs w:val="32"/>
          <w:lang w:val="en-US" w:eastAsia="zh-CN" w:bidi="ar"/>
        </w:rPr>
        <w:t>支出决算表</w:t>
      </w:r>
    </w:p>
    <w:tbl>
      <w:tblPr>
        <w:tblW w:w="4997" w:type="pct"/>
        <w:tblInd w:w="0" w:type="dxa"/>
        <w:shd w:val="clear"/>
        <w:tblLayout w:type="autofit"/>
        <w:tblCellMar>
          <w:top w:w="15" w:type="dxa"/>
          <w:left w:w="108" w:type="dxa"/>
          <w:bottom w:w="15" w:type="dxa"/>
          <w:right w:w="108" w:type="dxa"/>
        </w:tblCellMar>
      </w:tblPr>
      <w:tblGrid>
        <w:gridCol w:w="494"/>
        <w:gridCol w:w="569"/>
        <w:gridCol w:w="719"/>
        <w:gridCol w:w="1655"/>
        <w:gridCol w:w="871"/>
        <w:gridCol w:w="846"/>
        <w:gridCol w:w="898"/>
        <w:gridCol w:w="743"/>
        <w:gridCol w:w="860"/>
        <w:gridCol w:w="862"/>
      </w:tblGrid>
      <w:tr>
        <w:tblPrEx>
          <w:shd w:val="clear"/>
          <w:tblCellMar>
            <w:top w:w="15" w:type="dxa"/>
            <w:left w:w="108" w:type="dxa"/>
            <w:bottom w:w="15" w:type="dxa"/>
            <w:right w:w="108" w:type="dxa"/>
          </w:tblCellMar>
        </w:tblPrEx>
        <w:trPr>
          <w:trHeight w:val="285" w:hRule="atLeast"/>
        </w:trPr>
        <w:tc>
          <w:tcPr>
            <w:tcW w:w="290" w:type="pct"/>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334" w:type="pct"/>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422" w:type="pct"/>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970" w:type="pct"/>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511" w:type="pct"/>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496" w:type="pct"/>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527" w:type="pct"/>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436" w:type="pct"/>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1009" w:type="pct"/>
            <w:gridSpan w:val="2"/>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0"/>
                <w:szCs w:val="20"/>
                <w:bdr w:val="none" w:color="auto" w:sz="0" w:space="0"/>
                <w:lang w:val="en-US" w:eastAsia="zh-CN" w:bidi="ar"/>
              </w:rPr>
              <w:t>公开03表</w:t>
            </w:r>
          </w:p>
        </w:tc>
      </w:tr>
      <w:tr>
        <w:tblPrEx>
          <w:tblCellMar>
            <w:top w:w="15" w:type="dxa"/>
            <w:left w:w="108" w:type="dxa"/>
            <w:bottom w:w="15" w:type="dxa"/>
            <w:right w:w="108" w:type="dxa"/>
          </w:tblCellMar>
        </w:tblPrEx>
        <w:trPr>
          <w:trHeight w:val="300" w:hRule="atLeast"/>
        </w:trPr>
        <w:tc>
          <w:tcPr>
            <w:tcW w:w="624" w:type="pct"/>
            <w:gridSpan w:val="2"/>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部门：</w:t>
            </w:r>
          </w:p>
        </w:tc>
        <w:tc>
          <w:tcPr>
            <w:tcW w:w="422" w:type="pct"/>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970" w:type="pct"/>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511" w:type="pct"/>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496" w:type="pct"/>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4"/>
                <w:szCs w:val="24"/>
                <w:bdr w:val="none" w:color="auto" w:sz="0" w:space="0"/>
                <w:lang w:val="en-US" w:eastAsia="zh-CN" w:bidi="ar"/>
              </w:rPr>
              <w:t> </w:t>
            </w:r>
          </w:p>
        </w:tc>
        <w:tc>
          <w:tcPr>
            <w:tcW w:w="527" w:type="pct"/>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436" w:type="pct"/>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1009" w:type="pct"/>
            <w:gridSpan w:val="2"/>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15"/>
                <w:szCs w:val="15"/>
                <w:bdr w:val="none" w:color="auto" w:sz="0" w:space="0"/>
                <w:lang w:val="en-US" w:eastAsia="zh-CN" w:bidi="ar"/>
              </w:rPr>
              <w:t>金额单位：万元</w:t>
            </w:r>
          </w:p>
        </w:tc>
      </w:tr>
      <w:tr>
        <w:tblPrEx>
          <w:tblCellMar>
            <w:top w:w="15" w:type="dxa"/>
            <w:left w:w="108" w:type="dxa"/>
            <w:bottom w:w="15" w:type="dxa"/>
            <w:right w:w="108" w:type="dxa"/>
          </w:tblCellMar>
        </w:tblPrEx>
        <w:trPr>
          <w:trHeight w:val="450" w:hRule="atLeast"/>
        </w:trPr>
        <w:tc>
          <w:tcPr>
            <w:tcW w:w="2017"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项目</w:t>
            </w:r>
          </w:p>
        </w:tc>
        <w:tc>
          <w:tcPr>
            <w:tcW w:w="511" w:type="pct"/>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本年支出合计</w:t>
            </w:r>
          </w:p>
        </w:tc>
        <w:tc>
          <w:tcPr>
            <w:tcW w:w="496" w:type="pct"/>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基本支出</w:t>
            </w:r>
          </w:p>
        </w:tc>
        <w:tc>
          <w:tcPr>
            <w:tcW w:w="527" w:type="pct"/>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项目支出</w:t>
            </w:r>
          </w:p>
        </w:tc>
        <w:tc>
          <w:tcPr>
            <w:tcW w:w="436" w:type="pct"/>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上缴上级支出</w:t>
            </w:r>
          </w:p>
        </w:tc>
        <w:tc>
          <w:tcPr>
            <w:tcW w:w="504" w:type="pct"/>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经营支出</w:t>
            </w:r>
          </w:p>
        </w:tc>
        <w:tc>
          <w:tcPr>
            <w:tcW w:w="505" w:type="pct"/>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对附属单位补助支出</w:t>
            </w:r>
          </w:p>
        </w:tc>
      </w:tr>
      <w:tr>
        <w:tblPrEx>
          <w:tblCellMar>
            <w:top w:w="15" w:type="dxa"/>
            <w:left w:w="108" w:type="dxa"/>
            <w:bottom w:w="15" w:type="dxa"/>
            <w:right w:w="108" w:type="dxa"/>
          </w:tblCellMar>
        </w:tblPrEx>
        <w:trPr>
          <w:trHeight w:val="975"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支出功能分类科目编码</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科目名称</w:t>
            </w:r>
          </w:p>
        </w:tc>
        <w:tc>
          <w:tcPr>
            <w:tcW w:w="511" w:type="pct"/>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96" w:type="pct"/>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27" w:type="pct"/>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6" w:type="pct"/>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04" w:type="pct"/>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05" w:type="pct"/>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08" w:type="dxa"/>
            <w:bottom w:w="15" w:type="dxa"/>
            <w:right w:w="108" w:type="dxa"/>
          </w:tblCellMar>
        </w:tblPrEx>
        <w:trPr>
          <w:trHeight w:val="450" w:hRule="atLeast"/>
        </w:trPr>
        <w:tc>
          <w:tcPr>
            <w:tcW w:w="29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类</w:t>
            </w:r>
          </w:p>
        </w:tc>
        <w:tc>
          <w:tcPr>
            <w:tcW w:w="33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款</w:t>
            </w:r>
          </w:p>
        </w:tc>
        <w:tc>
          <w:tcPr>
            <w:tcW w:w="422"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项</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合计</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57.02</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57.02</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201</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一般公共服务支出</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50.40</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50.40</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20103</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政府办公厅（室）及相关机构事务</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2.27</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2.27</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2010301</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行政运行</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2.27</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2.27</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20113</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商贸事务</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48.13</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48.13</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2011301</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行政运行</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43.58</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43.58</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2011302</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一般行政管理事务</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4.54</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4.54</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208</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社会保障和就业支出</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2.92</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2.92</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20805</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行政事业单位离退休</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2.92</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2.92</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2080505</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机关事业单位基本养老保险缴费支出</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2.92</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2.92</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210</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卫生健康支出</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1.29</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1.29</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21011</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行政事业单位医疗</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1.29</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1.29</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2101101</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行政单位医疗</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0.97</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0.97</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2101103</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公务员医疗补助</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0.32</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0.32</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221</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住房保障支出</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2.41</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2.41</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22102</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住房改革支出</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2.41</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2.41</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2210201</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住房公积金</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1.93</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1.93</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450" w:hRule="atLeast"/>
        </w:trPr>
        <w:tc>
          <w:tcPr>
            <w:tcW w:w="104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22"/>
                <w:szCs w:val="22"/>
                <w:bdr w:val="none" w:color="auto" w:sz="0" w:space="0"/>
                <w:lang w:val="en-US" w:eastAsia="zh-CN" w:bidi="ar"/>
              </w:rPr>
              <w:t>2210202</w:t>
            </w:r>
          </w:p>
        </w:tc>
        <w:tc>
          <w:tcPr>
            <w:tcW w:w="970"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8"/>
                <w:szCs w:val="18"/>
                <w:bdr w:val="none" w:color="auto" w:sz="0" w:space="0"/>
                <w:lang w:val="en-US" w:eastAsia="zh-CN" w:bidi="ar"/>
              </w:rPr>
              <w:t>提租补贴</w:t>
            </w:r>
          </w:p>
        </w:tc>
        <w:tc>
          <w:tcPr>
            <w:tcW w:w="511"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0.48</w:t>
            </w:r>
          </w:p>
        </w:tc>
        <w:tc>
          <w:tcPr>
            <w:tcW w:w="49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22"/>
                <w:szCs w:val="22"/>
                <w:bdr w:val="none" w:color="auto" w:sz="0" w:space="0"/>
                <w:lang w:val="en-US" w:eastAsia="zh-CN" w:bidi="ar"/>
              </w:rPr>
              <w:t>0.48</w:t>
            </w:r>
          </w:p>
        </w:tc>
        <w:tc>
          <w:tcPr>
            <w:tcW w:w="52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36"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4"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bl>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黑体" w:hAnsi="宋体" w:eastAsia="黑体" w:cs="黑体"/>
          <w:kern w:val="2"/>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黑体" w:hAnsi="宋体" w:eastAsia="黑体" w:cs="黑体"/>
          <w:kern w:val="2"/>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center"/>
      </w:pPr>
      <w:r>
        <w:rPr>
          <w:rFonts w:hint="eastAsia" w:ascii="黑体" w:hAnsi="宋体" w:eastAsia="黑体" w:cs="黑体"/>
          <w:kern w:val="2"/>
          <w:sz w:val="32"/>
          <w:szCs w:val="32"/>
          <w:lang w:val="en-US" w:eastAsia="zh-CN" w:bidi="ar"/>
        </w:rPr>
        <w:t>财政拨款收入支出决算总表</w:t>
      </w:r>
    </w:p>
    <w:tbl>
      <w:tblPr>
        <w:tblW w:w="9795" w:type="dxa"/>
        <w:tblInd w:w="93" w:type="dxa"/>
        <w:shd w:val="clear"/>
        <w:tblLayout w:type="fixed"/>
        <w:tblCellMar>
          <w:top w:w="15" w:type="dxa"/>
          <w:left w:w="108" w:type="dxa"/>
          <w:bottom w:w="15" w:type="dxa"/>
          <w:right w:w="108" w:type="dxa"/>
        </w:tblCellMar>
      </w:tblPr>
      <w:tblGrid>
        <w:gridCol w:w="2018"/>
        <w:gridCol w:w="885"/>
        <w:gridCol w:w="868"/>
        <w:gridCol w:w="3366"/>
        <w:gridCol w:w="77"/>
        <w:gridCol w:w="1252"/>
        <w:gridCol w:w="1329"/>
      </w:tblGrid>
      <w:tr>
        <w:tblPrEx>
          <w:shd w:val="clear"/>
          <w:tblCellMar>
            <w:top w:w="15" w:type="dxa"/>
            <w:left w:w="108" w:type="dxa"/>
            <w:bottom w:w="15" w:type="dxa"/>
            <w:right w:w="108" w:type="dxa"/>
          </w:tblCellMar>
        </w:tblPrEx>
        <w:trPr>
          <w:trHeight w:val="285" w:hRule="atLeast"/>
        </w:trPr>
        <w:tc>
          <w:tcPr>
            <w:tcW w:w="2018"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1753" w:type="dxa"/>
            <w:gridSpan w:val="2"/>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3366"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2658" w:type="dxa"/>
            <w:gridSpan w:val="3"/>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0"/>
                <w:szCs w:val="20"/>
                <w:bdr w:val="none" w:color="auto" w:sz="0" w:space="0"/>
                <w:lang w:val="en-US" w:eastAsia="zh-CN" w:bidi="ar"/>
              </w:rPr>
              <w:t>公开04表</w:t>
            </w:r>
          </w:p>
        </w:tc>
      </w:tr>
      <w:tr>
        <w:tblPrEx>
          <w:tblCellMar>
            <w:top w:w="15" w:type="dxa"/>
            <w:left w:w="108" w:type="dxa"/>
            <w:bottom w:w="15" w:type="dxa"/>
            <w:right w:w="108" w:type="dxa"/>
          </w:tblCellMar>
        </w:tblPrEx>
        <w:trPr>
          <w:trHeight w:val="270" w:hRule="atLeast"/>
        </w:trPr>
        <w:tc>
          <w:tcPr>
            <w:tcW w:w="2018" w:type="dxa"/>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部门：</w:t>
            </w:r>
          </w:p>
        </w:tc>
        <w:tc>
          <w:tcPr>
            <w:tcW w:w="1753" w:type="dxa"/>
            <w:gridSpan w:val="2"/>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0"/>
                <w:szCs w:val="20"/>
                <w:bdr w:val="none" w:color="auto" w:sz="0" w:space="0"/>
                <w:lang w:val="en-US" w:eastAsia="zh-CN" w:bidi="ar"/>
              </w:rPr>
              <w:t> </w:t>
            </w:r>
          </w:p>
        </w:tc>
        <w:tc>
          <w:tcPr>
            <w:tcW w:w="3366" w:type="dxa"/>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2658" w:type="dxa"/>
            <w:gridSpan w:val="3"/>
            <w:tcBorders>
              <w:top w:val="nil"/>
              <w:left w:val="nil"/>
              <w:bottom w:val="single" w:color="auto" w:sz="4" w:space="0"/>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15"/>
                <w:szCs w:val="15"/>
                <w:bdr w:val="none" w:color="auto" w:sz="0" w:space="0"/>
                <w:lang w:val="en-US" w:eastAsia="zh-CN" w:bidi="ar"/>
              </w:rPr>
              <w:t>金额单位：万元</w:t>
            </w:r>
          </w:p>
        </w:tc>
      </w:tr>
      <w:tr>
        <w:tblPrEx>
          <w:tblCellMar>
            <w:top w:w="15" w:type="dxa"/>
            <w:left w:w="108" w:type="dxa"/>
            <w:bottom w:w="15" w:type="dxa"/>
            <w:right w:w="108" w:type="dxa"/>
          </w:tblCellMar>
        </w:tblPrEx>
        <w:trPr>
          <w:trHeight w:val="300" w:hRule="atLeast"/>
        </w:trPr>
        <w:tc>
          <w:tcPr>
            <w:tcW w:w="3771"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 xml:space="preserve">         收入</w:t>
            </w:r>
          </w:p>
        </w:tc>
        <w:tc>
          <w:tcPr>
            <w:tcW w:w="6024" w:type="dxa"/>
            <w:gridSpan w:val="4"/>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 xml:space="preserve">       支出</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项    目</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金额</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项目</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一般公共预算财政拨款</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政府性基金预算财政拨款</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一、一般公共预算财政拨款</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50.36</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一、一般公共服务支出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36.74</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二、政府性基金预算财政拨款</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0</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二、外交支出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三、国防支出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四、公共安全支出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五、教育支出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六、科学技术支出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七、文化旅游体育与传媒支出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八、社会保障和就业支出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2.92</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九、卫生健康支出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1.29</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十、节能环保支出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十一、城乡社区支出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十二、农林水支出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十三、交通运输支出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十四、资源勘探信息等支出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十五、商业服务业等支出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十六、金融支出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十七、援助其他地区支出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十八、自然资源海洋气象等支出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十九、住房保障支出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2.41</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二十、粮油物资储备支出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二十一、灾害防治及应急管理支出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二十二、其他支出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二十三、债务还本支出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 </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 </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二十四、债务付息支出</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b/>
                <w:bCs/>
                <w:kern w:val="0"/>
                <w:sz w:val="22"/>
                <w:szCs w:val="22"/>
                <w:bdr w:val="none" w:color="auto" w:sz="0" w:space="0"/>
                <w:lang w:val="en-US" w:eastAsia="zh-CN" w:bidi="ar"/>
              </w:rPr>
              <w:t>本年收入合计</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both"/>
            </w:pPr>
            <w:r>
              <w:rPr>
                <w:rFonts w:hint="eastAsia" w:ascii="宋体" w:hAnsi="宋体" w:eastAsia="宋体" w:cs="宋体"/>
                <w:kern w:val="0"/>
                <w:sz w:val="22"/>
                <w:szCs w:val="22"/>
                <w:bdr w:val="none" w:color="auto" w:sz="0" w:space="0"/>
                <w:lang w:val="en-US" w:eastAsia="zh-CN" w:bidi="ar"/>
              </w:rPr>
              <w:t>50.36</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b/>
                <w:bCs/>
                <w:kern w:val="0"/>
                <w:sz w:val="22"/>
                <w:szCs w:val="22"/>
                <w:bdr w:val="none" w:color="auto" w:sz="0" w:space="0"/>
                <w:lang w:val="en-US" w:eastAsia="zh-CN" w:bidi="ar"/>
              </w:rPr>
              <w:t>本年支出合计</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43.36</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年初财政拨款结转和结余</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0</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年末财政拨款结转和结余</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7</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一般公共预算财政拨款</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0</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 </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政府性基金预算财政拨款</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0</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2"/>
                <w:szCs w:val="22"/>
                <w:bdr w:val="none" w:color="auto" w:sz="0" w:space="0"/>
                <w:lang w:val="en-US" w:eastAsia="zh-CN" w:bidi="ar"/>
              </w:rPr>
              <w:t> </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2"/>
                <w:szCs w:val="22"/>
                <w:bdr w:val="none" w:color="auto" w:sz="0" w:space="0"/>
                <w:lang w:val="en-US" w:eastAsia="zh-CN" w:bidi="ar"/>
              </w:rPr>
              <w:t> </w:t>
            </w:r>
          </w:p>
        </w:tc>
      </w:tr>
      <w:tr>
        <w:tblPrEx>
          <w:tblCellMar>
            <w:top w:w="15" w:type="dxa"/>
            <w:left w:w="108" w:type="dxa"/>
            <w:bottom w:w="15" w:type="dxa"/>
            <w:right w:w="108" w:type="dxa"/>
          </w:tblCellMar>
        </w:tblPrEx>
        <w:trPr>
          <w:trHeight w:val="300" w:hRule="atLeast"/>
        </w:trPr>
        <w:tc>
          <w:tcPr>
            <w:tcW w:w="290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b/>
                <w:bCs/>
                <w:kern w:val="0"/>
                <w:sz w:val="22"/>
                <w:szCs w:val="22"/>
                <w:bdr w:val="none" w:color="auto" w:sz="0" w:space="0"/>
                <w:lang w:val="en-US" w:eastAsia="zh-CN" w:bidi="ar"/>
              </w:rPr>
              <w:t>总计</w:t>
            </w:r>
          </w:p>
        </w:tc>
        <w:tc>
          <w:tcPr>
            <w:tcW w:w="868"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50.36</w:t>
            </w:r>
          </w:p>
        </w:tc>
        <w:tc>
          <w:tcPr>
            <w:tcW w:w="3443"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b/>
                <w:bCs/>
                <w:kern w:val="0"/>
                <w:sz w:val="22"/>
                <w:szCs w:val="22"/>
                <w:bdr w:val="none" w:color="auto" w:sz="0" w:space="0"/>
                <w:lang w:val="en-US" w:eastAsia="zh-CN" w:bidi="ar"/>
              </w:rPr>
              <w:t>总计</w:t>
            </w:r>
          </w:p>
        </w:tc>
        <w:tc>
          <w:tcPr>
            <w:tcW w:w="125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50.36</w:t>
            </w:r>
          </w:p>
        </w:tc>
        <w:tc>
          <w:tcPr>
            <w:tcW w:w="132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2"/>
                <w:szCs w:val="22"/>
                <w:bdr w:val="none" w:color="auto" w:sz="0" w:space="0"/>
                <w:lang w:val="en-US" w:eastAsia="zh-CN" w:bidi="ar"/>
              </w:rPr>
              <w:t> </w:t>
            </w:r>
          </w:p>
        </w:tc>
      </w:tr>
    </w:tbl>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黑体" w:hAnsi="宋体" w:eastAsia="黑体" w:cs="黑体"/>
          <w:kern w:val="2"/>
          <w:sz w:val="32"/>
          <w:szCs w:val="32"/>
          <w:lang w:val="en-US" w:eastAsia="zh-CN" w:bidi="ar"/>
        </w:rPr>
        <w:t>一般公共预算财政拨款收入支出决算表</w:t>
      </w:r>
    </w:p>
    <w:tbl>
      <w:tblPr>
        <w:tblW w:w="9465" w:type="dxa"/>
        <w:tblInd w:w="93" w:type="dxa"/>
        <w:shd w:val="clear"/>
        <w:tblLayout w:type="fixed"/>
        <w:tblCellMar>
          <w:top w:w="15" w:type="dxa"/>
          <w:left w:w="108" w:type="dxa"/>
          <w:bottom w:w="15" w:type="dxa"/>
          <w:right w:w="108" w:type="dxa"/>
        </w:tblCellMar>
      </w:tblPr>
      <w:tblGrid>
        <w:gridCol w:w="473"/>
        <w:gridCol w:w="645"/>
        <w:gridCol w:w="240"/>
        <w:gridCol w:w="965"/>
        <w:gridCol w:w="475"/>
        <w:gridCol w:w="450"/>
        <w:gridCol w:w="525"/>
        <w:gridCol w:w="585"/>
        <w:gridCol w:w="585"/>
        <w:gridCol w:w="510"/>
        <w:gridCol w:w="615"/>
        <w:gridCol w:w="791"/>
        <w:gridCol w:w="349"/>
        <w:gridCol w:w="720"/>
        <w:gridCol w:w="510"/>
        <w:gridCol w:w="435"/>
        <w:gridCol w:w="592"/>
      </w:tblGrid>
      <w:tr>
        <w:tblPrEx>
          <w:shd w:val="clear"/>
          <w:tblCellMar>
            <w:top w:w="15" w:type="dxa"/>
            <w:left w:w="108" w:type="dxa"/>
            <w:bottom w:w="15" w:type="dxa"/>
            <w:right w:w="108" w:type="dxa"/>
          </w:tblCellMar>
        </w:tblPrEx>
        <w:trPr>
          <w:trHeight w:val="360" w:hRule="atLeast"/>
        </w:trPr>
        <w:tc>
          <w:tcPr>
            <w:tcW w:w="473"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645"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24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965"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475"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45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525"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585"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585"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51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615"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791"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349"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72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1537" w:type="dxa"/>
            <w:gridSpan w:val="3"/>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20"/>
                <w:szCs w:val="20"/>
                <w:bdr w:val="none" w:color="auto" w:sz="0" w:space="0"/>
                <w:lang w:val="en-US" w:eastAsia="zh-CN" w:bidi="ar"/>
              </w:rPr>
              <w:t>公开05表</w:t>
            </w:r>
          </w:p>
        </w:tc>
      </w:tr>
      <w:tr>
        <w:tblPrEx>
          <w:tblCellMar>
            <w:top w:w="15" w:type="dxa"/>
            <w:left w:w="108" w:type="dxa"/>
            <w:bottom w:w="15" w:type="dxa"/>
            <w:right w:w="108" w:type="dxa"/>
          </w:tblCellMar>
        </w:tblPrEx>
        <w:trPr>
          <w:trHeight w:val="450" w:hRule="atLeast"/>
        </w:trPr>
        <w:tc>
          <w:tcPr>
            <w:tcW w:w="1118" w:type="dxa"/>
            <w:gridSpan w:val="2"/>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部门：</w:t>
            </w:r>
          </w:p>
        </w:tc>
        <w:tc>
          <w:tcPr>
            <w:tcW w:w="240"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965"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475"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450"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525"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585"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585"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510"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615"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791"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349"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720" w:type="dxa"/>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宋体"/>
                <w:kern w:val="0"/>
                <w:sz w:val="20"/>
                <w:szCs w:val="20"/>
                <w:bdr w:val="none" w:color="auto" w:sz="0" w:space="0"/>
                <w:lang w:val="en-US" w:eastAsia="zh-CN" w:bidi="ar"/>
              </w:rPr>
              <w:t> </w:t>
            </w:r>
          </w:p>
        </w:tc>
        <w:tc>
          <w:tcPr>
            <w:tcW w:w="1537" w:type="dxa"/>
            <w:gridSpan w:val="3"/>
            <w:tcBorders>
              <w:top w:val="nil"/>
              <w:left w:val="nil"/>
              <w:bottom w:val="single" w:color="auto" w:sz="4" w:space="0"/>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15"/>
                <w:szCs w:val="15"/>
                <w:bdr w:val="none" w:color="auto" w:sz="0" w:space="0"/>
                <w:lang w:val="en-US" w:eastAsia="zh-CN" w:bidi="ar"/>
              </w:rPr>
              <w:t>金额单位：万元</w:t>
            </w:r>
          </w:p>
        </w:tc>
      </w:tr>
      <w:tr>
        <w:tblPrEx>
          <w:tblCellMar>
            <w:top w:w="15" w:type="dxa"/>
            <w:left w:w="108" w:type="dxa"/>
            <w:bottom w:w="15" w:type="dxa"/>
            <w:right w:w="108" w:type="dxa"/>
          </w:tblCellMar>
        </w:tblPrEx>
        <w:trPr>
          <w:trHeight w:val="781" w:hRule="atLeast"/>
        </w:trPr>
        <w:tc>
          <w:tcPr>
            <w:tcW w:w="1358" w:type="dxa"/>
            <w:gridSpan w:val="3"/>
            <w:vMerge w:val="restart"/>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科目编码</w:t>
            </w:r>
          </w:p>
        </w:tc>
        <w:tc>
          <w:tcPr>
            <w:tcW w:w="965" w:type="dxa"/>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科目名称</w:t>
            </w:r>
          </w:p>
        </w:tc>
        <w:tc>
          <w:tcPr>
            <w:tcW w:w="1450"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年初结转和结余</w:t>
            </w:r>
          </w:p>
        </w:tc>
        <w:tc>
          <w:tcPr>
            <w:tcW w:w="1680"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本年收入</w:t>
            </w:r>
          </w:p>
        </w:tc>
        <w:tc>
          <w:tcPr>
            <w:tcW w:w="1755"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本年支出</w:t>
            </w:r>
          </w:p>
        </w:tc>
        <w:tc>
          <w:tcPr>
            <w:tcW w:w="2257" w:type="dxa"/>
            <w:gridSpan w:val="4"/>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年末结转和结余</w:t>
            </w:r>
          </w:p>
        </w:tc>
      </w:tr>
      <w:tr>
        <w:tblPrEx>
          <w:tblCellMar>
            <w:top w:w="15" w:type="dxa"/>
            <w:left w:w="108" w:type="dxa"/>
            <w:bottom w:w="15" w:type="dxa"/>
            <w:right w:w="108" w:type="dxa"/>
          </w:tblCellMar>
        </w:tblPrEx>
        <w:trPr>
          <w:trHeight w:val="300" w:hRule="atLeast"/>
        </w:trPr>
        <w:tc>
          <w:tcPr>
            <w:tcW w:w="1358" w:type="dxa"/>
            <w:gridSpan w:val="3"/>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965"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75" w:type="dxa"/>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合计</w:t>
            </w:r>
          </w:p>
        </w:tc>
        <w:tc>
          <w:tcPr>
            <w:tcW w:w="450" w:type="dxa"/>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基本支出结转</w:t>
            </w:r>
          </w:p>
        </w:tc>
        <w:tc>
          <w:tcPr>
            <w:tcW w:w="525" w:type="dxa"/>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项目支出结转和结余</w:t>
            </w:r>
          </w:p>
        </w:tc>
        <w:tc>
          <w:tcPr>
            <w:tcW w:w="585" w:type="dxa"/>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合计</w:t>
            </w:r>
          </w:p>
        </w:tc>
        <w:tc>
          <w:tcPr>
            <w:tcW w:w="585" w:type="dxa"/>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基本支出</w:t>
            </w:r>
          </w:p>
        </w:tc>
        <w:tc>
          <w:tcPr>
            <w:tcW w:w="510" w:type="dxa"/>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项目支出</w:t>
            </w:r>
          </w:p>
        </w:tc>
        <w:tc>
          <w:tcPr>
            <w:tcW w:w="615" w:type="dxa"/>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合计</w:t>
            </w:r>
          </w:p>
        </w:tc>
        <w:tc>
          <w:tcPr>
            <w:tcW w:w="791" w:type="dxa"/>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基本支出</w:t>
            </w:r>
          </w:p>
        </w:tc>
        <w:tc>
          <w:tcPr>
            <w:tcW w:w="349" w:type="dxa"/>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项目支出</w:t>
            </w:r>
          </w:p>
        </w:tc>
        <w:tc>
          <w:tcPr>
            <w:tcW w:w="720" w:type="dxa"/>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合计</w:t>
            </w:r>
          </w:p>
        </w:tc>
        <w:tc>
          <w:tcPr>
            <w:tcW w:w="510" w:type="dxa"/>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基本支出结转</w:t>
            </w:r>
          </w:p>
        </w:tc>
        <w:tc>
          <w:tcPr>
            <w:tcW w:w="1027"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项目支出结转和结余</w:t>
            </w:r>
          </w:p>
        </w:tc>
      </w:tr>
      <w:tr>
        <w:tblPrEx>
          <w:tblCellMar>
            <w:top w:w="15" w:type="dxa"/>
            <w:left w:w="108" w:type="dxa"/>
            <w:bottom w:w="15" w:type="dxa"/>
            <w:right w:w="108" w:type="dxa"/>
          </w:tblCellMar>
        </w:tblPrEx>
        <w:trPr>
          <w:trHeight w:val="286" w:hRule="atLeast"/>
        </w:trPr>
        <w:tc>
          <w:tcPr>
            <w:tcW w:w="1358" w:type="dxa"/>
            <w:gridSpan w:val="3"/>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965"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75"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50"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25"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85"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85"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10"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615"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791"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349"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720"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10"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5" w:type="dxa"/>
            <w:vMerge w:val="restar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项目支出结转</w:t>
            </w:r>
          </w:p>
        </w:tc>
        <w:tc>
          <w:tcPr>
            <w:tcW w:w="592" w:type="dxa"/>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项目支出结余</w:t>
            </w:r>
          </w:p>
        </w:tc>
      </w:tr>
      <w:tr>
        <w:tblPrEx>
          <w:tblCellMar>
            <w:top w:w="15" w:type="dxa"/>
            <w:left w:w="108" w:type="dxa"/>
            <w:bottom w:w="15" w:type="dxa"/>
            <w:right w:w="108" w:type="dxa"/>
          </w:tblCellMar>
        </w:tblPrEx>
        <w:trPr>
          <w:trHeight w:val="870" w:hRule="atLeast"/>
        </w:trPr>
        <w:tc>
          <w:tcPr>
            <w:tcW w:w="1358" w:type="dxa"/>
            <w:gridSpan w:val="3"/>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965"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75"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50"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25"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85"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85"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10"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615"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791"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349"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720"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10"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5" w:type="dxa"/>
            <w:vMerge w:val="continue"/>
            <w:tcBorders>
              <w:top w:val="nil"/>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92" w:type="dxa"/>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15" w:type="dxa"/>
            <w:left w:w="108" w:type="dxa"/>
            <w:bottom w:w="15" w:type="dxa"/>
            <w:right w:w="108" w:type="dxa"/>
          </w:tblCellMar>
        </w:tblPrEx>
        <w:trPr>
          <w:trHeight w:val="300"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 </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5"/>
                <w:szCs w:val="15"/>
                <w:bdr w:val="none" w:color="auto" w:sz="0" w:space="0"/>
                <w:lang w:val="en-US" w:eastAsia="zh-CN" w:bidi="ar"/>
              </w:rPr>
              <w:t>合计</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b/>
                <w:bCs/>
                <w:i w:val="0"/>
                <w:iCs w:val="0"/>
                <w:color w:val="000000"/>
                <w:kern w:val="0"/>
                <w:sz w:val="15"/>
                <w:szCs w:val="15"/>
                <w:bdr w:val="none" w:color="auto" w:sz="0" w:space="0"/>
                <w:lang w:val="en-US" w:eastAsia="zh-CN" w:bidi="ar"/>
              </w:rPr>
              <w:t>50.36</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b/>
                <w:bCs/>
                <w:i w:val="0"/>
                <w:iCs w:val="0"/>
                <w:color w:val="000000"/>
                <w:kern w:val="0"/>
                <w:sz w:val="15"/>
                <w:szCs w:val="15"/>
                <w:bdr w:val="none" w:color="auto" w:sz="0" w:space="0"/>
                <w:lang w:val="en-US" w:eastAsia="zh-CN" w:bidi="ar"/>
              </w:rPr>
              <w:t>50.36</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b/>
                <w:bCs/>
                <w:i w:val="0"/>
                <w:iCs w:val="0"/>
                <w:color w:val="000000"/>
                <w:kern w:val="0"/>
                <w:sz w:val="15"/>
                <w:szCs w:val="15"/>
                <w:bdr w:val="none" w:color="auto" w:sz="0" w:space="0"/>
                <w:lang w:val="en-US" w:eastAsia="zh-CN" w:bidi="ar"/>
              </w:rPr>
              <w:t>43.36</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b/>
                <w:bCs/>
                <w:i w:val="0"/>
                <w:iCs w:val="0"/>
                <w:color w:val="000000"/>
                <w:kern w:val="0"/>
                <w:sz w:val="15"/>
                <w:szCs w:val="15"/>
                <w:bdr w:val="none" w:color="auto" w:sz="0" w:space="0"/>
                <w:lang w:val="en-US" w:eastAsia="zh-CN" w:bidi="ar"/>
              </w:rPr>
              <w:t>43.36</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b/>
                <w:bCs/>
                <w:i w:val="0"/>
                <w:iCs w:val="0"/>
                <w:color w:val="000000"/>
                <w:kern w:val="0"/>
                <w:sz w:val="15"/>
                <w:szCs w:val="15"/>
                <w:bdr w:val="none" w:color="auto" w:sz="0" w:space="0"/>
                <w:lang w:val="en-US" w:eastAsia="zh-CN" w:bidi="ar"/>
              </w:rPr>
              <w:t>7.00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b/>
                <w:bCs/>
                <w:i w:val="0"/>
                <w:iCs w:val="0"/>
                <w:color w:val="000000"/>
                <w:kern w:val="0"/>
                <w:sz w:val="15"/>
                <w:szCs w:val="15"/>
                <w:bdr w:val="none" w:color="auto" w:sz="0" w:space="0"/>
                <w:lang w:val="en-US" w:eastAsia="zh-CN" w:bidi="ar"/>
              </w:rPr>
              <w:t>7.00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354"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201</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一般公共服务支出</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43.74</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43.74</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36.74</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36.74</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7.00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7.00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374"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20103</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政府办公厅（室）及相关机构事务</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2.27</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2.27</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2.27</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2.27</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374"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2010301</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行政运行</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2.27</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2.27</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2.27</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2.27</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374"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20113</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商贸事务</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41.47</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41.47</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34.47</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34.47</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7.00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7.00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374"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2011301</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行政运行</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36.93</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36.93</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29.93</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29.93</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7.00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7.00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374"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2011302</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一般行政管理事务</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4.54</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4.54</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4.54</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4.54</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281"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208</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社会保障和就业支出</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379"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20805</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行政事业单位离退休</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289"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2080505</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机关事业单位基本养老保险缴费支出</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2.92</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289"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210</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卫生健康支出</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1.29</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1.29</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1.29</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1.29</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289"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21011</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行政事业单位医疗</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1.29</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1.29</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1.29</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1.29</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289"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2101101</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行政单位医疗</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0.97</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0.97</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0.97</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0.97</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289"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2101103</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公务员医疗补助</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0.32</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0.32</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0.32</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0.32</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319"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221</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住房保障支出</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2.41</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2.41</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2.41</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2.41</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289"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22102</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住房改革支出</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2.41</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2.41</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2.41</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2.41</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r>
      <w:tr>
        <w:tblPrEx>
          <w:tblCellMar>
            <w:top w:w="15" w:type="dxa"/>
            <w:left w:w="108" w:type="dxa"/>
            <w:bottom w:w="15" w:type="dxa"/>
            <w:right w:w="108" w:type="dxa"/>
          </w:tblCellMar>
        </w:tblPrEx>
        <w:trPr>
          <w:trHeight w:val="418"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2210201</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住房公积金</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1.93</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1.93</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1.93</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1.93</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15" w:type="dxa"/>
            <w:left w:w="108" w:type="dxa"/>
            <w:bottom w:w="15" w:type="dxa"/>
            <w:right w:w="108" w:type="dxa"/>
          </w:tblCellMar>
        </w:tblPrEx>
        <w:trPr>
          <w:trHeight w:val="514" w:hRule="atLeast"/>
        </w:trPr>
        <w:tc>
          <w:tcPr>
            <w:tcW w:w="13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2210202</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textAlignment w:val="center"/>
            </w:pPr>
            <w:r>
              <w:rPr>
                <w:rFonts w:hint="eastAsia" w:ascii="宋体" w:hAnsi="宋体" w:eastAsia="宋体" w:cs="宋体"/>
                <w:i w:val="0"/>
                <w:iCs w:val="0"/>
                <w:color w:val="000000"/>
                <w:kern w:val="0"/>
                <w:sz w:val="15"/>
                <w:szCs w:val="15"/>
                <w:bdr w:val="none" w:color="auto" w:sz="0" w:space="0"/>
                <w:lang w:val="en-US" w:eastAsia="zh-CN" w:bidi="ar"/>
              </w:rPr>
              <w:t>提租补贴</w:t>
            </w:r>
          </w:p>
        </w:tc>
        <w:tc>
          <w:tcPr>
            <w:tcW w:w="47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45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2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5"/>
                <w:szCs w:val="15"/>
                <w:bdr w:val="none" w:color="auto" w:sz="0" w:space="0"/>
                <w:lang w:val="en-US" w:eastAsia="zh-CN" w:bidi="ar"/>
              </w:rPr>
              <w:t>　0</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0.48</w:t>
            </w:r>
          </w:p>
        </w:tc>
        <w:tc>
          <w:tcPr>
            <w:tcW w:w="58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0.48</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1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0.48</w:t>
            </w:r>
          </w:p>
        </w:tc>
        <w:tc>
          <w:tcPr>
            <w:tcW w:w="791"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0.48</w:t>
            </w:r>
          </w:p>
        </w:tc>
        <w:tc>
          <w:tcPr>
            <w:tcW w:w="349"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72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51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textAlignment w:val="center"/>
            </w:pPr>
            <w:r>
              <w:rPr>
                <w:rFonts w:hint="eastAsia" w:ascii="宋体" w:hAnsi="宋体" w:eastAsia="宋体" w:cs="宋体"/>
                <w:i w:val="0"/>
                <w:iCs w:val="0"/>
                <w:color w:val="000000"/>
                <w:kern w:val="0"/>
                <w:sz w:val="15"/>
                <w:szCs w:val="15"/>
                <w:bdr w:val="none" w:color="auto" w:sz="0" w:space="0"/>
                <w:lang w:val="en-US" w:eastAsia="zh-CN" w:bidi="ar"/>
              </w:rPr>
              <w:t>0.00</w:t>
            </w:r>
          </w:p>
        </w:tc>
        <w:tc>
          <w:tcPr>
            <w:tcW w:w="43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59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bl>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rPr>
          <w:rFonts w:hint="eastAsia" w:ascii="黑体" w:hAnsi="宋体" w:eastAsia="黑体" w:cs="黑体"/>
          <w:kern w:val="2"/>
          <w:sz w:val="32"/>
          <w:szCs w:val="32"/>
          <w:lang w:val="en-US" w:eastAsia="zh-CN" w:bidi="ar"/>
        </w:rPr>
      </w:pP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黑体" w:hAnsi="宋体" w:eastAsia="黑体" w:cs="黑体"/>
          <w:kern w:val="2"/>
          <w:sz w:val="32"/>
          <w:szCs w:val="32"/>
          <w:lang w:val="en-US" w:eastAsia="zh-CN" w:bidi="ar"/>
        </w:rPr>
        <w:t>一般公共预算财政拨款基本支出决算表</w:t>
      </w:r>
    </w:p>
    <w:tbl>
      <w:tblPr>
        <w:tblW w:w="10187" w:type="dxa"/>
        <w:tblInd w:w="93" w:type="dxa"/>
        <w:shd w:val="clear"/>
        <w:tblLayout w:type="fixed"/>
        <w:tblCellMar>
          <w:top w:w="0" w:type="dxa"/>
          <w:left w:w="108" w:type="dxa"/>
          <w:bottom w:w="0" w:type="dxa"/>
          <w:right w:w="108" w:type="dxa"/>
        </w:tblCellMar>
      </w:tblPr>
      <w:tblGrid>
        <w:gridCol w:w="651"/>
        <w:gridCol w:w="2057"/>
        <w:gridCol w:w="764"/>
        <w:gridCol w:w="651"/>
        <w:gridCol w:w="1435"/>
        <w:gridCol w:w="739"/>
        <w:gridCol w:w="651"/>
        <w:gridCol w:w="2015"/>
        <w:gridCol w:w="755"/>
        <w:gridCol w:w="469"/>
      </w:tblGrid>
      <w:tr>
        <w:tblPrEx>
          <w:shd w:val="clear"/>
          <w:tblCellMar>
            <w:top w:w="0" w:type="dxa"/>
            <w:left w:w="108" w:type="dxa"/>
            <w:bottom w:w="0" w:type="dxa"/>
            <w:right w:w="108" w:type="dxa"/>
          </w:tblCellMar>
        </w:tblPrEx>
        <w:trPr>
          <w:gridAfter w:val="1"/>
          <w:wAfter w:w="469" w:type="dxa"/>
          <w:trHeight w:val="225" w:hRule="atLeast"/>
        </w:trPr>
        <w:tc>
          <w:tcPr>
            <w:tcW w:w="651" w:type="dxa"/>
            <w:tcBorders>
              <w:top w:val="nil"/>
              <w:left w:val="nil"/>
              <w:bottom w:val="nil"/>
              <w:right w:val="nil"/>
            </w:tcBorders>
            <w:shd w:val="clear" w:color="auto" w:fill="FFFFFF"/>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0"/>
                <w:szCs w:val="20"/>
                <w:bdr w:val="none" w:color="auto" w:sz="0" w:space="0"/>
                <w:lang w:val="en-US" w:eastAsia="zh-CN" w:bidi="ar"/>
              </w:rPr>
              <w:t>　</w:t>
            </w:r>
          </w:p>
        </w:tc>
        <w:tc>
          <w:tcPr>
            <w:tcW w:w="2057" w:type="dxa"/>
            <w:tcBorders>
              <w:top w:val="nil"/>
              <w:left w:val="nil"/>
              <w:bottom w:val="nil"/>
              <w:right w:val="nil"/>
            </w:tcBorders>
            <w:shd w:val="clear" w:color="auto" w:fill="FFFFFF"/>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0"/>
                <w:szCs w:val="20"/>
                <w:bdr w:val="none" w:color="auto" w:sz="0" w:space="0"/>
                <w:lang w:val="en-US" w:eastAsia="zh-CN" w:bidi="ar"/>
              </w:rPr>
              <w:t>　</w:t>
            </w:r>
          </w:p>
        </w:tc>
        <w:tc>
          <w:tcPr>
            <w:tcW w:w="764" w:type="dxa"/>
            <w:tcBorders>
              <w:top w:val="nil"/>
              <w:left w:val="nil"/>
              <w:bottom w:val="nil"/>
              <w:right w:val="nil"/>
            </w:tcBorders>
            <w:shd w:val="clear" w:color="auto" w:fill="FFFFFF"/>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20"/>
                <w:szCs w:val="20"/>
                <w:bdr w:val="none" w:color="auto" w:sz="0" w:space="0"/>
                <w:lang w:val="en-US" w:eastAsia="zh-CN" w:bidi="ar"/>
              </w:rPr>
              <w:t>　</w:t>
            </w:r>
          </w:p>
        </w:tc>
        <w:tc>
          <w:tcPr>
            <w:tcW w:w="651" w:type="dxa"/>
            <w:tcBorders>
              <w:top w:val="nil"/>
              <w:left w:val="nil"/>
              <w:bottom w:val="nil"/>
              <w:right w:val="nil"/>
            </w:tcBorders>
            <w:shd w:val="clear" w:color="auto" w:fill="FFFFFF"/>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　</w:t>
            </w:r>
          </w:p>
        </w:tc>
        <w:tc>
          <w:tcPr>
            <w:tcW w:w="1435" w:type="dxa"/>
            <w:tcBorders>
              <w:top w:val="nil"/>
              <w:left w:val="nil"/>
              <w:bottom w:val="nil"/>
              <w:right w:val="nil"/>
            </w:tcBorders>
            <w:shd w:val="clear" w:color="auto" w:fill="FFFFFF"/>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　</w:t>
            </w:r>
          </w:p>
        </w:tc>
        <w:tc>
          <w:tcPr>
            <w:tcW w:w="739" w:type="dxa"/>
            <w:tcBorders>
              <w:top w:val="nil"/>
              <w:left w:val="nil"/>
              <w:bottom w:val="nil"/>
              <w:right w:val="nil"/>
            </w:tcBorders>
            <w:shd w:val="clear" w:color="auto" w:fill="FFFFFF"/>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　</w:t>
            </w:r>
          </w:p>
        </w:tc>
        <w:tc>
          <w:tcPr>
            <w:tcW w:w="651" w:type="dxa"/>
            <w:tcBorders>
              <w:top w:val="nil"/>
              <w:left w:val="nil"/>
              <w:bottom w:val="nil"/>
              <w:right w:val="nil"/>
            </w:tcBorders>
            <w:shd w:val="clear" w:color="auto" w:fill="FFFFFF"/>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　</w:t>
            </w:r>
          </w:p>
        </w:tc>
        <w:tc>
          <w:tcPr>
            <w:tcW w:w="2770" w:type="dxa"/>
            <w:gridSpan w:val="2"/>
            <w:tcBorders>
              <w:top w:val="nil"/>
              <w:left w:val="nil"/>
              <w:bottom w:val="nil"/>
              <w:right w:val="nil"/>
            </w:tcBorders>
            <w:shd w:val="clear" w:color="auto" w:fill="FFFFFF"/>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20"/>
                <w:szCs w:val="20"/>
                <w:bdr w:val="none" w:color="auto" w:sz="0" w:space="0"/>
                <w:lang w:val="en-US" w:eastAsia="zh-CN" w:bidi="ar"/>
              </w:rPr>
              <w:t>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97"/>
              <w:jc w:val="right"/>
            </w:pPr>
            <w:r>
              <w:rPr>
                <w:rFonts w:hint="eastAsia" w:ascii="宋体" w:hAnsi="宋体" w:eastAsia="宋体" w:cs="宋体"/>
                <w:kern w:val="0"/>
                <w:sz w:val="20"/>
                <w:szCs w:val="20"/>
                <w:bdr w:val="none" w:color="auto" w:sz="0" w:space="0"/>
                <w:lang w:val="en-US" w:eastAsia="zh-CN" w:bidi="ar"/>
              </w:rPr>
              <w:t>公开06表</w:t>
            </w:r>
          </w:p>
        </w:tc>
      </w:tr>
      <w:tr>
        <w:tblPrEx>
          <w:tblCellMar>
            <w:top w:w="0" w:type="dxa"/>
            <w:left w:w="108" w:type="dxa"/>
            <w:bottom w:w="0" w:type="dxa"/>
            <w:right w:w="108" w:type="dxa"/>
          </w:tblCellMar>
        </w:tblPrEx>
        <w:trPr>
          <w:gridAfter w:val="1"/>
          <w:wAfter w:w="469" w:type="dxa"/>
          <w:trHeight w:val="240" w:hRule="atLeast"/>
        </w:trPr>
        <w:tc>
          <w:tcPr>
            <w:tcW w:w="2708" w:type="dxa"/>
            <w:gridSpan w:val="2"/>
            <w:tcBorders>
              <w:top w:val="nil"/>
              <w:left w:val="nil"/>
              <w:bottom w:val="nil"/>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部门：</w:t>
            </w:r>
          </w:p>
        </w:tc>
        <w:tc>
          <w:tcPr>
            <w:tcW w:w="764" w:type="dxa"/>
            <w:tcBorders>
              <w:top w:val="nil"/>
              <w:left w:val="nil"/>
              <w:bottom w:val="nil"/>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651" w:type="dxa"/>
            <w:tcBorders>
              <w:top w:val="nil"/>
              <w:left w:val="nil"/>
              <w:bottom w:val="nil"/>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1435" w:type="dxa"/>
            <w:tcBorders>
              <w:top w:val="nil"/>
              <w:left w:val="nil"/>
              <w:bottom w:val="nil"/>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739" w:type="dxa"/>
            <w:tcBorders>
              <w:top w:val="nil"/>
              <w:left w:val="nil"/>
              <w:bottom w:val="nil"/>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651" w:type="dxa"/>
            <w:tcBorders>
              <w:top w:val="nil"/>
              <w:left w:val="nil"/>
              <w:bottom w:val="nil"/>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2770" w:type="dxa"/>
            <w:gridSpan w:val="2"/>
            <w:tcBorders>
              <w:top w:val="nil"/>
              <w:left w:val="nil"/>
              <w:bottom w:val="nil"/>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15"/>
                <w:szCs w:val="15"/>
                <w:bdr w:val="none" w:color="auto" w:sz="0" w:space="0"/>
                <w:lang w:val="en-US" w:eastAsia="zh-CN" w:bidi="ar"/>
              </w:rPr>
              <w:t>金额单位：万元</w:t>
            </w:r>
          </w:p>
        </w:tc>
      </w:tr>
      <w:tr>
        <w:tblPrEx>
          <w:tblCellMar>
            <w:top w:w="0" w:type="dxa"/>
            <w:left w:w="108" w:type="dxa"/>
            <w:bottom w:w="0" w:type="dxa"/>
            <w:right w:w="108" w:type="dxa"/>
          </w:tblCellMar>
        </w:tblPrEx>
        <w:trPr>
          <w:gridAfter w:val="1"/>
          <w:wAfter w:w="469" w:type="dxa"/>
          <w:trHeight w:val="495" w:hRule="atLeast"/>
        </w:trPr>
        <w:tc>
          <w:tcPr>
            <w:tcW w:w="651" w:type="dxa"/>
            <w:tcBorders>
              <w:top w:val="single" w:color="auto" w:sz="8" w:space="0"/>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科目编码</w:t>
            </w:r>
          </w:p>
        </w:tc>
        <w:tc>
          <w:tcPr>
            <w:tcW w:w="2057" w:type="dxa"/>
            <w:tcBorders>
              <w:top w:val="single" w:color="auto" w:sz="8"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科目名称</w:t>
            </w:r>
          </w:p>
        </w:tc>
        <w:tc>
          <w:tcPr>
            <w:tcW w:w="764" w:type="dxa"/>
            <w:tcBorders>
              <w:top w:val="single" w:color="auto" w:sz="8"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决算数</w:t>
            </w:r>
          </w:p>
        </w:tc>
        <w:tc>
          <w:tcPr>
            <w:tcW w:w="651" w:type="dxa"/>
            <w:tcBorders>
              <w:top w:val="single" w:color="auto" w:sz="8" w:space="0"/>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科目编码</w:t>
            </w:r>
          </w:p>
        </w:tc>
        <w:tc>
          <w:tcPr>
            <w:tcW w:w="1435" w:type="dxa"/>
            <w:tcBorders>
              <w:top w:val="single" w:color="auto" w:sz="8"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科目名称</w:t>
            </w:r>
          </w:p>
        </w:tc>
        <w:tc>
          <w:tcPr>
            <w:tcW w:w="739" w:type="dxa"/>
            <w:tcBorders>
              <w:top w:val="single" w:color="auto" w:sz="8"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决算数</w:t>
            </w:r>
          </w:p>
        </w:tc>
        <w:tc>
          <w:tcPr>
            <w:tcW w:w="651" w:type="dxa"/>
            <w:tcBorders>
              <w:top w:val="single" w:color="auto" w:sz="8" w:space="0"/>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科目编码</w:t>
            </w:r>
          </w:p>
        </w:tc>
        <w:tc>
          <w:tcPr>
            <w:tcW w:w="2015" w:type="dxa"/>
            <w:tcBorders>
              <w:top w:val="single" w:color="auto" w:sz="8"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科目名称</w:t>
            </w:r>
          </w:p>
        </w:tc>
        <w:tc>
          <w:tcPr>
            <w:tcW w:w="755" w:type="dxa"/>
            <w:tcBorders>
              <w:top w:val="single" w:color="auto" w:sz="8" w:space="0"/>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决算数</w:t>
            </w:r>
          </w:p>
        </w:tc>
      </w:tr>
      <w:tr>
        <w:tblPrEx>
          <w:tblCellMar>
            <w:top w:w="0" w:type="dxa"/>
            <w:left w:w="108" w:type="dxa"/>
            <w:bottom w:w="0" w:type="dxa"/>
            <w:right w:w="108" w:type="dxa"/>
          </w:tblCellMar>
        </w:tblPrEx>
        <w:trPr>
          <w:gridAfter w:val="1"/>
          <w:wAfter w:w="469" w:type="dxa"/>
          <w:trHeight w:val="301"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工资福利支出</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32.68</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商品和服务支出</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10.18</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307</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债务利息及费用支出</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30101</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基本工资</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11.2</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30201</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办公费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1.78</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30701</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国内债务付息</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30102</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津贴补贴</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8.08</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30202</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印刷费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30702</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国外债务付息</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30103</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奖金</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2.42</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30203</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咨询费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30703</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国内债务发行费用</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30106</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伙食补助费</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30204</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手续费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30704</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国外债务发行费用</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30107</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绩效工资</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30205</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水费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资本性支出</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0.50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30108</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机关事业单位基本养老保险费</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3.52</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30206</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电费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31001</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房屋建筑物购建</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30109</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职业年金缴费</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30207</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邮电费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0.11</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31002</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办公设备购置</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0.50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30110</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职工基本医疗保险缴费</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1.02</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30208</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取暖费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31003</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专用设备购置</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30111</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公务员医疗补助缴费</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30209</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物业管理费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31005</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基础设施建设</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30112</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其他社会保障缴费</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30211</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差旅费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3.47</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31006</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大型修缮</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30113</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住房公积金</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3.83</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30212</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因公出国（境）费用</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31007</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信息网络及软件购置更新</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30114</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医疗费</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1.53</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30213</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维修（护）费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0.12</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31008</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物资储备</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30199</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其他工资福利支出</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1.07</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30214</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租赁费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31009</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土地补偿</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对个人和家庭的补助</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30215</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会议费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1.14</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31010</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安置补助</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30301</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离休费</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30216</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培训费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0.22</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31011</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地上附着物和青苗补偿</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30302</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退休费</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30217</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公务招待费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0.10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31012</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拆迁补偿</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30303</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退职（役）费</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30218</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专用材料费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31013</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公务用车购置</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30304</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抚恤金</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30224</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被装购置费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31019</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其他交通工具购置</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30305</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生活补助</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30225</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专用燃料费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31021</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文物和陈列品购置</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30306</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救济费</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30226</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劳务费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1.20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31022</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无形资产购置</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30307</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医疗费补助</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30227</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委托业务费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31099</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其他资本性支出</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30308</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助学金</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30228</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工会经费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312</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对企业补助</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30309</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奖励金</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30229</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福利费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31201</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资本金注入</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30310</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个人农业生产补贴</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30231</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公务用车运行维护费</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31203</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政府投资基金股权投资</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30399</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对其他个人和家庭的补助支出</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30239</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其他交通费用</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1.98</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31204</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费用补贴</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30240</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税金及附加费用</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31205</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利息补贴</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30299</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其他商品和服务支出</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0.08</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31299</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其他对企业补助</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399</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其他支出</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39906</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赠与</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39907</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国家赔偿费用支出</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gridAfter w:val="1"/>
          <w:wAfter w:w="469" w:type="dxa"/>
          <w:trHeight w:val="222" w:hRule="atLeast"/>
        </w:trPr>
        <w:tc>
          <w:tcPr>
            <w:tcW w:w="651" w:type="dxa"/>
            <w:tcBorders>
              <w:top w:val="nil"/>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2057"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39908</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对民间非营利组织和群众性自治组织补贴</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r>
      <w:tr>
        <w:tblPrEx>
          <w:tblCellMar>
            <w:top w:w="0" w:type="dxa"/>
            <w:left w:w="108" w:type="dxa"/>
            <w:bottom w:w="0" w:type="dxa"/>
            <w:right w:w="108" w:type="dxa"/>
          </w:tblCellMar>
        </w:tblPrEx>
        <w:trPr>
          <w:trHeight w:val="222" w:hRule="atLeast"/>
        </w:trPr>
        <w:tc>
          <w:tcPr>
            <w:tcW w:w="2708"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　</w:t>
            </w:r>
          </w:p>
        </w:tc>
        <w:tc>
          <w:tcPr>
            <w:tcW w:w="764"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143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739"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c>
          <w:tcPr>
            <w:tcW w:w="65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39999</w:t>
            </w:r>
          </w:p>
        </w:tc>
        <w:tc>
          <w:tcPr>
            <w:tcW w:w="201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xml:space="preserve">  其他支出</w:t>
            </w:r>
          </w:p>
        </w:tc>
        <w:tc>
          <w:tcPr>
            <w:tcW w:w="755" w:type="dxa"/>
            <w:tcBorders>
              <w:top w:val="nil"/>
              <w:left w:val="nil"/>
              <w:bottom w:val="single" w:color="auto" w:sz="4"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0</w:t>
            </w:r>
          </w:p>
        </w:tc>
        <w:tc>
          <w:tcPr>
            <w:tcW w:w="469" w:type="dxa"/>
            <w:tcBorders>
              <w:top w:val="nil"/>
              <w:left w:val="nil"/>
              <w:bottom w:val="nil"/>
              <w:right w:val="nil"/>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w:t>
            </w:r>
          </w:p>
        </w:tc>
      </w:tr>
      <w:tr>
        <w:tblPrEx>
          <w:tblCellMar>
            <w:top w:w="0" w:type="dxa"/>
            <w:left w:w="108" w:type="dxa"/>
            <w:bottom w:w="0" w:type="dxa"/>
            <w:right w:w="108" w:type="dxa"/>
          </w:tblCellMar>
        </w:tblPrEx>
        <w:trPr>
          <w:gridAfter w:val="1"/>
          <w:wAfter w:w="469" w:type="dxa"/>
          <w:trHeight w:val="222" w:hRule="atLeast"/>
        </w:trPr>
        <w:tc>
          <w:tcPr>
            <w:tcW w:w="2708" w:type="dxa"/>
            <w:gridSpan w:val="2"/>
            <w:tcBorders>
              <w:top w:val="single" w:color="auto" w:sz="4" w:space="0"/>
              <w:left w:val="single" w:color="auto" w:sz="8" w:space="0"/>
              <w:bottom w:val="single" w:color="auto" w:sz="8"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人员经费合计</w:t>
            </w:r>
          </w:p>
        </w:tc>
        <w:tc>
          <w:tcPr>
            <w:tcW w:w="764" w:type="dxa"/>
            <w:tcBorders>
              <w:top w:val="nil"/>
              <w:left w:val="nil"/>
              <w:bottom w:val="single" w:color="auto" w:sz="8"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32.68</w:t>
            </w:r>
          </w:p>
        </w:tc>
        <w:tc>
          <w:tcPr>
            <w:tcW w:w="5491" w:type="dxa"/>
            <w:gridSpan w:val="5"/>
            <w:tcBorders>
              <w:top w:val="single" w:color="auto" w:sz="4" w:space="0"/>
              <w:left w:val="nil"/>
              <w:bottom w:val="single" w:color="auto" w:sz="8"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宋体"/>
                <w:kern w:val="0"/>
                <w:sz w:val="18"/>
                <w:szCs w:val="18"/>
                <w:bdr w:val="none" w:color="auto" w:sz="0" w:space="0"/>
                <w:lang w:val="en-US" w:eastAsia="zh-CN" w:bidi="ar"/>
              </w:rPr>
              <w:t>公用经费合计</w:t>
            </w:r>
          </w:p>
        </w:tc>
        <w:tc>
          <w:tcPr>
            <w:tcW w:w="755" w:type="dxa"/>
            <w:tcBorders>
              <w:top w:val="nil"/>
              <w:left w:val="nil"/>
              <w:bottom w:val="single" w:color="auto" w:sz="8" w:space="0"/>
              <w:right w:val="single" w:color="auto" w:sz="8"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宋体"/>
                <w:kern w:val="0"/>
                <w:sz w:val="18"/>
                <w:szCs w:val="18"/>
                <w:bdr w:val="none" w:color="auto" w:sz="0" w:space="0"/>
                <w:lang w:val="en-US" w:eastAsia="zh-CN" w:bidi="ar"/>
              </w:rPr>
              <w:t>　10.68</w:t>
            </w:r>
          </w:p>
        </w:tc>
      </w:tr>
    </w:tbl>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黑体" w:hAnsi="宋体" w:eastAsia="黑体" w:cs="黑体"/>
          <w:kern w:val="2"/>
          <w:sz w:val="32"/>
          <w:szCs w:val="32"/>
          <w:lang w:val="en-US" w:eastAsia="zh-CN" w:bidi="ar"/>
        </w:rPr>
        <w:t>政府性基金预算财政拨款收入支出决算表</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黑体" w:hAnsi="宋体" w:eastAsia="黑体" w:cs="黑体"/>
          <w:kern w:val="2"/>
          <w:sz w:val="20"/>
          <w:szCs w:val="20"/>
          <w:lang w:val="en-US" w:eastAsia="zh-CN" w:bidi="ar"/>
        </w:rPr>
        <w:t xml:space="preserve">                                                                                  </w:t>
      </w:r>
      <w:r>
        <w:rPr>
          <w:rFonts w:hint="eastAsia" w:ascii="宋体" w:hAnsi="宋体" w:eastAsia="宋体" w:cs="宋体"/>
          <w:kern w:val="0"/>
          <w:sz w:val="20"/>
          <w:szCs w:val="20"/>
          <w:lang w:val="en-US" w:eastAsia="zh-CN" w:bidi="ar"/>
        </w:rPr>
        <w:t>公开07表</w:t>
      </w:r>
    </w:p>
    <w:tbl>
      <w:tblPr>
        <w:tblW w:w="0" w:type="auto"/>
        <w:tblInd w:w="93" w:type="dxa"/>
        <w:shd w:val="clear"/>
        <w:tblLayout w:type="fixed"/>
        <w:tblCellMar>
          <w:top w:w="0" w:type="dxa"/>
          <w:left w:w="108" w:type="dxa"/>
          <w:bottom w:w="0" w:type="dxa"/>
          <w:right w:w="108" w:type="dxa"/>
        </w:tblCellMar>
      </w:tblPr>
      <w:tblGrid>
        <w:gridCol w:w="430"/>
        <w:gridCol w:w="430"/>
        <w:gridCol w:w="430"/>
        <w:gridCol w:w="540"/>
        <w:gridCol w:w="460"/>
        <w:gridCol w:w="580"/>
        <w:gridCol w:w="640"/>
        <w:gridCol w:w="480"/>
        <w:gridCol w:w="430"/>
        <w:gridCol w:w="430"/>
        <w:gridCol w:w="430"/>
        <w:gridCol w:w="430"/>
        <w:gridCol w:w="430"/>
        <w:gridCol w:w="460"/>
        <w:gridCol w:w="820"/>
        <w:gridCol w:w="880"/>
        <w:gridCol w:w="880"/>
      </w:tblGrid>
      <w:tr>
        <w:tblPrEx>
          <w:shd w:val="clear"/>
          <w:tblCellMar>
            <w:top w:w="0" w:type="dxa"/>
            <w:left w:w="108" w:type="dxa"/>
            <w:bottom w:w="0" w:type="dxa"/>
            <w:right w:w="108" w:type="dxa"/>
          </w:tblCellMar>
        </w:tblPrEx>
        <w:trPr>
          <w:trHeight w:val="255" w:hRule="atLeast"/>
        </w:trPr>
        <w:tc>
          <w:tcPr>
            <w:tcW w:w="860" w:type="dxa"/>
            <w:gridSpan w:val="2"/>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0"/>
                <w:sz w:val="20"/>
                <w:szCs w:val="20"/>
                <w:bdr w:val="none" w:color="auto" w:sz="0" w:space="0"/>
                <w:lang w:val="en-US" w:eastAsia="zh-CN" w:bidi="ar"/>
              </w:rPr>
              <w:t>部门：</w:t>
            </w:r>
          </w:p>
        </w:tc>
        <w:tc>
          <w:tcPr>
            <w:tcW w:w="43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54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46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58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64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48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43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43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43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43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43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46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820" w:type="dxa"/>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Arial" w:hAnsi="Arial" w:eastAsia="宋体" w:cs="Arial"/>
                <w:kern w:val="0"/>
                <w:sz w:val="20"/>
                <w:szCs w:val="20"/>
                <w:bdr w:val="none" w:color="auto" w:sz="0" w:space="0"/>
                <w:lang w:val="en-US" w:eastAsia="zh-CN" w:bidi="ar"/>
              </w:rPr>
              <w:t> </w:t>
            </w:r>
          </w:p>
        </w:tc>
        <w:tc>
          <w:tcPr>
            <w:tcW w:w="1760" w:type="dxa"/>
            <w:gridSpan w:val="2"/>
            <w:tcBorders>
              <w:top w:val="nil"/>
              <w:left w:val="nil"/>
              <w:bottom w:val="nil"/>
              <w:right w:val="nil"/>
            </w:tcBorders>
            <w:shd w:val="clear"/>
            <w:vAlign w:val="bottom"/>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宋体"/>
                <w:kern w:val="0"/>
                <w:sz w:val="15"/>
                <w:szCs w:val="15"/>
                <w:bdr w:val="none" w:color="auto" w:sz="0" w:space="0"/>
                <w:lang w:val="en-US" w:eastAsia="zh-CN" w:bidi="ar"/>
              </w:rPr>
              <w:t>单位：万元</w:t>
            </w:r>
          </w:p>
        </w:tc>
      </w:tr>
      <w:tr>
        <w:tblPrEx>
          <w:tblCellMar>
            <w:top w:w="0" w:type="dxa"/>
            <w:left w:w="108" w:type="dxa"/>
            <w:bottom w:w="0" w:type="dxa"/>
            <w:right w:w="108" w:type="dxa"/>
          </w:tblCellMar>
        </w:tblPrEx>
        <w:trPr>
          <w:trHeight w:val="465" w:hRule="atLeast"/>
        </w:trPr>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科目编码</w:t>
            </w:r>
          </w:p>
        </w:tc>
        <w:tc>
          <w:tcPr>
            <w:tcW w:w="54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科目名称</w:t>
            </w:r>
          </w:p>
        </w:tc>
        <w:tc>
          <w:tcPr>
            <w:tcW w:w="1680"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年初结转和结余</w:t>
            </w:r>
          </w:p>
        </w:tc>
        <w:tc>
          <w:tcPr>
            <w:tcW w:w="1340"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本年收入</w:t>
            </w:r>
          </w:p>
        </w:tc>
        <w:tc>
          <w:tcPr>
            <w:tcW w:w="1290" w:type="dxa"/>
            <w:gridSpan w:val="3"/>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本年支出</w:t>
            </w:r>
          </w:p>
        </w:tc>
        <w:tc>
          <w:tcPr>
            <w:tcW w:w="3040" w:type="dxa"/>
            <w:gridSpan w:val="4"/>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年末结转和结余</w:t>
            </w:r>
          </w:p>
        </w:tc>
      </w:tr>
      <w:tr>
        <w:tblPrEx>
          <w:tblCellMar>
            <w:top w:w="0" w:type="dxa"/>
            <w:left w:w="108" w:type="dxa"/>
            <w:bottom w:w="0" w:type="dxa"/>
            <w:right w:w="108" w:type="dxa"/>
          </w:tblCellMar>
        </w:tblPrEx>
        <w:trPr>
          <w:trHeight w:val="615"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40" w:type="dxa"/>
            <w:vMerge w:val="continue"/>
            <w:tcBorders>
              <w:top w:val="single" w:color="000000" w:sz="4" w:space="0"/>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6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合计</w:t>
            </w:r>
          </w:p>
        </w:tc>
        <w:tc>
          <w:tcPr>
            <w:tcW w:w="58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基本支出结转</w:t>
            </w:r>
          </w:p>
        </w:tc>
        <w:tc>
          <w:tcPr>
            <w:tcW w:w="64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项目支出结转和结余</w:t>
            </w:r>
          </w:p>
        </w:tc>
        <w:tc>
          <w:tcPr>
            <w:tcW w:w="48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合计</w:t>
            </w:r>
          </w:p>
        </w:tc>
        <w:tc>
          <w:tcPr>
            <w:tcW w:w="43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基本支出</w:t>
            </w:r>
          </w:p>
        </w:tc>
        <w:tc>
          <w:tcPr>
            <w:tcW w:w="43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项目支出</w:t>
            </w:r>
          </w:p>
        </w:tc>
        <w:tc>
          <w:tcPr>
            <w:tcW w:w="43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合计</w:t>
            </w:r>
          </w:p>
        </w:tc>
        <w:tc>
          <w:tcPr>
            <w:tcW w:w="43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基本支出</w:t>
            </w:r>
          </w:p>
        </w:tc>
        <w:tc>
          <w:tcPr>
            <w:tcW w:w="43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项目支出</w:t>
            </w:r>
          </w:p>
        </w:tc>
        <w:tc>
          <w:tcPr>
            <w:tcW w:w="46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合计</w:t>
            </w:r>
          </w:p>
        </w:tc>
        <w:tc>
          <w:tcPr>
            <w:tcW w:w="82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基本支出结转</w:t>
            </w:r>
          </w:p>
        </w:tc>
        <w:tc>
          <w:tcPr>
            <w:tcW w:w="1760" w:type="dxa"/>
            <w:gridSpan w:val="2"/>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项目支出结转和结余</w:t>
            </w:r>
          </w:p>
        </w:tc>
      </w:tr>
      <w:tr>
        <w:tblPrEx>
          <w:tblCellMar>
            <w:top w:w="0" w:type="dxa"/>
            <w:left w:w="108" w:type="dxa"/>
            <w:bottom w:w="0" w:type="dxa"/>
            <w:right w:w="108" w:type="dxa"/>
          </w:tblCellMar>
        </w:tblPrEx>
        <w:trPr>
          <w:trHeight w:val="308"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40" w:type="dxa"/>
            <w:vMerge w:val="continue"/>
            <w:tcBorders>
              <w:top w:val="single" w:color="000000" w:sz="4" w:space="0"/>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6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8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64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8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6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82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88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项目支出结转</w:t>
            </w:r>
          </w:p>
        </w:tc>
        <w:tc>
          <w:tcPr>
            <w:tcW w:w="880" w:type="dxa"/>
            <w:vMerge w:val="restart"/>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项目支出结余</w:t>
            </w:r>
          </w:p>
        </w:tc>
      </w:tr>
      <w:tr>
        <w:tblPrEx>
          <w:tblCellMar>
            <w:top w:w="0" w:type="dxa"/>
            <w:left w:w="108" w:type="dxa"/>
            <w:bottom w:w="0" w:type="dxa"/>
            <w:right w:w="108" w:type="dxa"/>
          </w:tblCellMar>
        </w:tblPrEx>
        <w:trPr>
          <w:trHeight w:val="615"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40" w:type="dxa"/>
            <w:vMerge w:val="continue"/>
            <w:tcBorders>
              <w:top w:val="single" w:color="000000" w:sz="4" w:space="0"/>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6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58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64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8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3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46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82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88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c>
          <w:tcPr>
            <w:tcW w:w="880" w:type="dxa"/>
            <w:vMerge w:val="continue"/>
            <w:tcBorders>
              <w:top w:val="nil"/>
              <w:left w:val="nil"/>
              <w:bottom w:val="single" w:color="000000" w:sz="4" w:space="0"/>
              <w:right w:val="single" w:color="000000" w:sz="4" w:space="0"/>
            </w:tcBorders>
            <w:shd w:val="clear"/>
            <w:vAlign w:val="center"/>
          </w:tcPr>
          <w:p>
            <w:pPr>
              <w:keepNext w:val="0"/>
              <w:keepLines w:val="0"/>
              <w:pageBreakBefore w:val="0"/>
              <w:kinsoku/>
              <w:overflowPunct/>
              <w:topLinePunct w:val="0"/>
              <w:autoSpaceDE/>
              <w:autoSpaceDN/>
              <w:bidi w:val="0"/>
              <w:spacing w:line="540" w:lineRule="exact"/>
              <w:rPr>
                <w:rFonts w:hint="eastAsia" w:ascii="宋体"/>
                <w:sz w:val="24"/>
                <w:szCs w:val="24"/>
              </w:rPr>
            </w:pPr>
          </w:p>
        </w:tc>
      </w:tr>
      <w:tr>
        <w:tblPrEx>
          <w:tblCellMar>
            <w:top w:w="0" w:type="dxa"/>
            <w:left w:w="108" w:type="dxa"/>
            <w:bottom w:w="0" w:type="dxa"/>
            <w:right w:w="108" w:type="dxa"/>
          </w:tblCellMar>
        </w:tblPrEx>
        <w:trPr>
          <w:trHeight w:val="308" w:hRule="atLeast"/>
        </w:trPr>
        <w:tc>
          <w:tcPr>
            <w:tcW w:w="4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0"/>
                <w:sz w:val="22"/>
                <w:szCs w:val="22"/>
                <w:bdr w:val="none" w:color="auto" w:sz="0" w:space="0"/>
                <w:lang w:val="en-US" w:eastAsia="zh-CN" w:bidi="ar"/>
              </w:rPr>
              <w:t>类</w:t>
            </w:r>
          </w:p>
        </w:tc>
        <w:tc>
          <w:tcPr>
            <w:tcW w:w="43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0"/>
                <w:sz w:val="22"/>
                <w:szCs w:val="22"/>
                <w:bdr w:val="none" w:color="auto" w:sz="0" w:space="0"/>
                <w:lang w:val="en-US" w:eastAsia="zh-CN" w:bidi="ar"/>
              </w:rPr>
              <w:t>款</w:t>
            </w:r>
          </w:p>
        </w:tc>
        <w:tc>
          <w:tcPr>
            <w:tcW w:w="430"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0"/>
                <w:sz w:val="22"/>
                <w:szCs w:val="22"/>
                <w:bdr w:val="none" w:color="auto" w:sz="0" w:space="0"/>
                <w:lang w:val="en-US" w:eastAsia="zh-CN" w:bidi="ar"/>
              </w:rPr>
              <w:t>项</w:t>
            </w:r>
          </w:p>
        </w:tc>
        <w:tc>
          <w:tcPr>
            <w:tcW w:w="54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center"/>
            </w:pPr>
            <w:r>
              <w:rPr>
                <w:rFonts w:hint="eastAsia" w:ascii="宋体" w:hAnsi="宋体" w:eastAsia="宋体" w:cs="Arial"/>
                <w:kern w:val="0"/>
                <w:sz w:val="22"/>
                <w:szCs w:val="22"/>
                <w:bdr w:val="none" w:color="auto" w:sz="0" w:space="0"/>
                <w:lang w:val="en-US" w:eastAsia="zh-CN" w:bidi="ar"/>
              </w:rPr>
              <w:t>合计</w:t>
            </w:r>
          </w:p>
        </w:tc>
        <w:tc>
          <w:tcPr>
            <w:tcW w:w="46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5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64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4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46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82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8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c>
          <w:tcPr>
            <w:tcW w:w="8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b/>
                <w:bCs/>
                <w:kern w:val="0"/>
                <w:sz w:val="22"/>
                <w:szCs w:val="22"/>
                <w:bdr w:val="none" w:color="auto" w:sz="0" w:space="0"/>
                <w:lang w:val="en-US" w:eastAsia="zh-CN" w:bidi="ar"/>
              </w:rPr>
              <w:t>　</w:t>
            </w:r>
          </w:p>
        </w:tc>
      </w:tr>
      <w:tr>
        <w:tblPrEx>
          <w:tblCellMar>
            <w:top w:w="0" w:type="dxa"/>
            <w:left w:w="108" w:type="dxa"/>
            <w:bottom w:w="0" w:type="dxa"/>
            <w:right w:w="108" w:type="dxa"/>
          </w:tblCellMar>
        </w:tblPrEx>
        <w:trPr>
          <w:trHeight w:val="500" w:hRule="atLeast"/>
        </w:trPr>
        <w:tc>
          <w:tcPr>
            <w:tcW w:w="1290" w:type="dxa"/>
            <w:gridSpan w:val="3"/>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0"/>
                <w:sz w:val="22"/>
                <w:szCs w:val="22"/>
                <w:bdr w:val="none" w:color="auto" w:sz="0" w:space="0"/>
                <w:lang w:val="en-US" w:eastAsia="zh-CN" w:bidi="ar"/>
              </w:rPr>
              <w:t>　0</w:t>
            </w:r>
          </w:p>
        </w:tc>
        <w:tc>
          <w:tcPr>
            <w:tcW w:w="54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0"/>
                <w:sz w:val="22"/>
                <w:szCs w:val="22"/>
                <w:bdr w:val="none" w:color="auto" w:sz="0" w:space="0"/>
                <w:lang w:val="en-US" w:eastAsia="zh-CN" w:bidi="ar"/>
              </w:rPr>
              <w:t>　0</w:t>
            </w:r>
          </w:p>
        </w:tc>
        <w:tc>
          <w:tcPr>
            <w:tcW w:w="46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c>
          <w:tcPr>
            <w:tcW w:w="5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c>
          <w:tcPr>
            <w:tcW w:w="64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c>
          <w:tcPr>
            <w:tcW w:w="4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c>
          <w:tcPr>
            <w:tcW w:w="46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w:t>
            </w:r>
          </w:p>
        </w:tc>
        <w:tc>
          <w:tcPr>
            <w:tcW w:w="82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c>
          <w:tcPr>
            <w:tcW w:w="8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c>
          <w:tcPr>
            <w:tcW w:w="8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0　</w:t>
            </w:r>
          </w:p>
        </w:tc>
      </w:tr>
      <w:tr>
        <w:tblPrEx>
          <w:tblCellMar>
            <w:top w:w="0" w:type="dxa"/>
            <w:left w:w="108" w:type="dxa"/>
            <w:bottom w:w="0" w:type="dxa"/>
            <w:right w:w="108" w:type="dxa"/>
          </w:tblCellMar>
        </w:tblPrEx>
        <w:trPr>
          <w:trHeight w:val="550" w:hRule="atLeast"/>
        </w:trPr>
        <w:tc>
          <w:tcPr>
            <w:tcW w:w="1290" w:type="dxa"/>
            <w:gridSpan w:val="3"/>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0"/>
                <w:sz w:val="22"/>
                <w:szCs w:val="22"/>
                <w:bdr w:val="none" w:color="auto" w:sz="0" w:space="0"/>
                <w:lang w:val="en-US" w:eastAsia="zh-CN" w:bidi="ar"/>
              </w:rPr>
              <w:t>　</w:t>
            </w:r>
          </w:p>
        </w:tc>
        <w:tc>
          <w:tcPr>
            <w:tcW w:w="54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0"/>
                <w:sz w:val="22"/>
                <w:szCs w:val="22"/>
                <w:bdr w:val="none" w:color="auto" w:sz="0" w:space="0"/>
                <w:lang w:val="en-US" w:eastAsia="zh-CN" w:bidi="ar"/>
              </w:rPr>
              <w:t>　</w:t>
            </w:r>
          </w:p>
        </w:tc>
        <w:tc>
          <w:tcPr>
            <w:tcW w:w="46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5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64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6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82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8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8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r>
      <w:tr>
        <w:tblPrEx>
          <w:tblCellMar>
            <w:top w:w="0" w:type="dxa"/>
            <w:left w:w="108" w:type="dxa"/>
            <w:bottom w:w="0" w:type="dxa"/>
            <w:right w:w="108" w:type="dxa"/>
          </w:tblCellMar>
        </w:tblPrEx>
        <w:trPr>
          <w:trHeight w:val="559" w:hRule="atLeast"/>
        </w:trPr>
        <w:tc>
          <w:tcPr>
            <w:tcW w:w="1290" w:type="dxa"/>
            <w:gridSpan w:val="3"/>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0"/>
                <w:sz w:val="22"/>
                <w:szCs w:val="22"/>
                <w:bdr w:val="none" w:color="auto" w:sz="0" w:space="0"/>
                <w:lang w:val="en-US" w:eastAsia="zh-CN" w:bidi="ar"/>
              </w:rPr>
              <w:t>　</w:t>
            </w:r>
          </w:p>
        </w:tc>
        <w:tc>
          <w:tcPr>
            <w:tcW w:w="54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宋体" w:hAnsi="宋体" w:eastAsia="宋体" w:cs="Arial"/>
                <w:kern w:val="0"/>
                <w:sz w:val="22"/>
                <w:szCs w:val="22"/>
                <w:bdr w:val="none" w:color="auto" w:sz="0" w:space="0"/>
                <w:lang w:val="en-US" w:eastAsia="zh-CN" w:bidi="ar"/>
              </w:rPr>
              <w:t>　</w:t>
            </w:r>
          </w:p>
        </w:tc>
        <w:tc>
          <w:tcPr>
            <w:tcW w:w="46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5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64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3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46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82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8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c>
          <w:tcPr>
            <w:tcW w:w="8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right"/>
            </w:pPr>
            <w:r>
              <w:rPr>
                <w:rFonts w:hint="eastAsia" w:ascii="宋体" w:hAnsi="宋体" w:eastAsia="宋体" w:cs="Arial"/>
                <w:kern w:val="0"/>
                <w:sz w:val="22"/>
                <w:szCs w:val="22"/>
                <w:bdr w:val="none" w:color="auto" w:sz="0" w:space="0"/>
                <w:lang w:val="en-US" w:eastAsia="zh-CN" w:bidi="ar"/>
              </w:rPr>
              <w:t>　</w:t>
            </w:r>
          </w:p>
        </w:tc>
      </w:tr>
    </w:tbl>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default" w:ascii="楷体_GB2312" w:hAnsi="仿宋" w:eastAsia="楷体_GB2312" w:cs="楷体_GB2312"/>
          <w:kern w:val="2"/>
          <w:sz w:val="32"/>
          <w:szCs w:val="32"/>
          <w:lang w:val="en-US" w:eastAsia="zh-CN" w:bidi="ar"/>
        </w:rPr>
        <w:t>宿州市贸促会没有政府性基金收入，也没有使用政府性基金安排的支出，故本表无数据</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jc w:val="left"/>
      </w:pPr>
      <w:r>
        <w:rPr>
          <w:rFonts w:hint="eastAsia" w:ascii="黑体" w:hAnsi="宋体" w:eastAsia="黑体" w:cs="黑体"/>
          <w:kern w:val="2"/>
          <w:sz w:val="20"/>
          <w:szCs w:val="20"/>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right="0" w:firstLine="640" w:firstLineChars="200"/>
        <w:jc w:val="left"/>
      </w:pPr>
      <w:r>
        <w:rPr>
          <w:rFonts w:hint="eastAsia" w:ascii="黑体" w:hAnsi="宋体" w:eastAsia="黑体" w:cs="黑体"/>
          <w:kern w:val="2"/>
          <w:sz w:val="32"/>
          <w:szCs w:val="32"/>
          <w:lang w:val="en-US" w:eastAsia="zh-CN" w:bidi="ar"/>
        </w:rPr>
        <w:t>  第三部分 宿州市贸促会2019年度部门决算情况说明</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一、收入支出决算总体情况说明</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2019年度收入总计64.02万元（含用事业基金弥补收支差额和年初结转结余）、支出总计64.02万元（含结余分配和年末结转结余）。与2018年相比，收、支总计各减少5.18万元，下降7%，主要原因是依据</w:t>
      </w:r>
      <w:r>
        <w:rPr>
          <w:rFonts w:hint="default" w:ascii="仿宋_GB2312" w:hAnsi="仿宋" w:eastAsia="仿宋_GB2312" w:cs="Times New Roman"/>
          <w:kern w:val="2"/>
          <w:sz w:val="32"/>
          <w:szCs w:val="32"/>
          <w:lang w:val="en-US" w:eastAsia="zh-CN" w:bidi="ar"/>
        </w:rPr>
        <w:t>“八项规定”和厉行节约的原则,</w:t>
      </w:r>
      <w:r>
        <w:rPr>
          <w:rFonts w:hint="default" w:ascii="仿宋_GB2312" w:hAnsi="仿宋" w:eastAsia="仿宋_GB2312" w:cs="仿宋_GB2312"/>
          <w:kern w:val="2"/>
          <w:sz w:val="32"/>
          <w:szCs w:val="32"/>
          <w:lang w:val="en-US" w:eastAsia="zh-CN" w:bidi="ar"/>
        </w:rPr>
        <w:t>压缩开支。</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二、收入决算情况说明</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2019年度收入合计50.36万元，其中：财政拨款收入50.36万元，占100%；事业收入0万元，占0%；经营收入0万元，占0%；其他收入0万元，占0%。</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三、支出决算情况说明</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2019年度支出合计57.02万元，其中：基本支出57.02万元，占100%；项目支出0万元，占0%；经营支出0万元，占0%。</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四、财政拨款收入支出决算总体情况说明</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财政拨款收入总计50.36万元（含年初财政拨款结转结余），支出总计50.36万元（含年末财政拨款结转和结余）。与2018年相比，财政拨款收、支总计各增加11.88万元，增长30%，主要原因：一是在职人员工资福利正常增长；二是会展、原产地证签证等业务办理支出费用增长。</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五、一般公共预算财政拨款收入支出决算情况说明</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3" w:firstLineChars="200"/>
        <w:jc w:val="left"/>
      </w:pPr>
      <w:r>
        <w:rPr>
          <w:rFonts w:hint="default" w:ascii="仿宋_GB2312" w:hAnsi="仿宋" w:eastAsia="仿宋_GB2312" w:cs="仿宋_GB2312"/>
          <w:b/>
          <w:bCs/>
          <w:kern w:val="2"/>
          <w:sz w:val="32"/>
          <w:szCs w:val="32"/>
          <w:lang w:val="en-US" w:eastAsia="zh-CN" w:bidi="ar"/>
        </w:rPr>
        <w:t>（一）一般公共预算财政拨款收入决算总体情况。</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一般公共预算财政拨款收入50.36万元，占本年收入的100%。与2018年相比，一般公共预算财政拨款收入增加14万元，增长38%。主要原因一是在职人员工资福利正常增长；二是会展、原产地证签证等业务办理支出费用增长。</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3" w:firstLineChars="200"/>
        <w:jc w:val="left"/>
      </w:pPr>
      <w:r>
        <w:rPr>
          <w:rFonts w:hint="default" w:ascii="仿宋_GB2312" w:hAnsi="仿宋" w:eastAsia="仿宋_GB2312" w:cs="仿宋_GB2312"/>
          <w:b/>
          <w:bCs/>
          <w:kern w:val="2"/>
          <w:sz w:val="32"/>
          <w:szCs w:val="32"/>
          <w:lang w:val="en-US" w:eastAsia="zh-CN" w:bidi="ar"/>
        </w:rPr>
        <w:t>（二）一般公共预算财政拨款支出决算总体情况。</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一般公共预算财政拨款支出43.36万元，占本年支出的100%。与2018年相比，一般公共预算财政拨款支出增加8.59万元，增长24.7%。主要原因一是在职人员工资福利正常增长；二是会展、原产地证签证等业务办理支出费用增长。</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3" w:firstLineChars="200"/>
        <w:jc w:val="left"/>
      </w:pPr>
      <w:r>
        <w:rPr>
          <w:rFonts w:hint="default" w:ascii="仿宋_GB2312" w:hAnsi="仿宋" w:eastAsia="仿宋_GB2312" w:cs="仿宋_GB2312"/>
          <w:b/>
          <w:bCs/>
          <w:kern w:val="2"/>
          <w:sz w:val="32"/>
          <w:szCs w:val="32"/>
          <w:lang w:val="en-US" w:eastAsia="zh-CN" w:bidi="ar"/>
        </w:rPr>
        <w:t>（三）一般公共预算财政拨款支出决算结构情况。</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2019年度一般公共预算财政拨款支出43.36万元，主要用于以下方面：</w:t>
      </w:r>
      <w:r>
        <w:rPr>
          <w:rFonts w:ascii="微软雅黑" w:hAnsi="微软雅黑" w:eastAsia="微软雅黑" w:cs="微软雅黑"/>
          <w:b/>
          <w:bCs/>
          <w:i w:val="0"/>
          <w:iCs w:val="0"/>
          <w:caps w:val="0"/>
          <w:color w:val="333333"/>
          <w:spacing w:val="0"/>
          <w:kern w:val="2"/>
          <w:sz w:val="24"/>
          <w:szCs w:val="24"/>
          <w:shd w:val="clear" w:fill="FFFFFF"/>
          <w:lang w:val="en-US" w:eastAsia="zh-CN" w:bidi="ar"/>
        </w:rPr>
        <w:t>一般公共服务（类）</w:t>
      </w:r>
      <w:r>
        <w:rPr>
          <w:rFonts w:hint="eastAsia" w:ascii="微软雅黑" w:hAnsi="微软雅黑" w:eastAsia="微软雅黑" w:cs="微软雅黑"/>
          <w:i w:val="0"/>
          <w:iCs w:val="0"/>
          <w:caps w:val="0"/>
          <w:color w:val="333333"/>
          <w:spacing w:val="0"/>
          <w:kern w:val="2"/>
          <w:sz w:val="24"/>
          <w:szCs w:val="24"/>
          <w:shd w:val="clear" w:fill="FFFFFF"/>
          <w:lang w:val="en-US" w:eastAsia="zh-CN" w:bidi="ar"/>
        </w:rPr>
        <w:t>支出</w:t>
      </w:r>
      <w:r>
        <w:rPr>
          <w:rFonts w:hint="eastAsia" w:ascii="仿宋" w:hAnsi="仿宋" w:eastAsia="仿宋" w:cs="仿宋"/>
          <w:i w:val="0"/>
          <w:iCs w:val="0"/>
          <w:caps w:val="0"/>
          <w:color w:val="333333"/>
          <w:spacing w:val="0"/>
          <w:kern w:val="2"/>
          <w:sz w:val="32"/>
          <w:szCs w:val="32"/>
          <w:shd w:val="clear" w:fill="FFFFFF"/>
          <w:lang w:val="en-US" w:eastAsia="zh-CN" w:bidi="ar"/>
        </w:rPr>
        <w:t>36.74万元，占85%;</w:t>
      </w:r>
      <w:r>
        <w:rPr>
          <w:rFonts w:hint="eastAsia" w:ascii="微软雅黑" w:hAnsi="微软雅黑" w:eastAsia="微软雅黑" w:cs="微软雅黑"/>
          <w:b/>
          <w:bCs/>
          <w:i w:val="0"/>
          <w:iCs w:val="0"/>
          <w:caps w:val="0"/>
          <w:color w:val="333333"/>
          <w:spacing w:val="0"/>
          <w:kern w:val="2"/>
          <w:sz w:val="24"/>
          <w:szCs w:val="24"/>
          <w:shd w:val="clear" w:fill="FFFFFF"/>
          <w:lang w:val="en-US" w:eastAsia="zh-CN" w:bidi="ar"/>
        </w:rPr>
        <w:t>社会保障和就业（类）</w:t>
      </w:r>
      <w:r>
        <w:rPr>
          <w:rFonts w:hint="eastAsia" w:ascii="微软雅黑" w:hAnsi="微软雅黑" w:eastAsia="微软雅黑" w:cs="微软雅黑"/>
          <w:i w:val="0"/>
          <w:iCs w:val="0"/>
          <w:caps w:val="0"/>
          <w:color w:val="333333"/>
          <w:spacing w:val="0"/>
          <w:kern w:val="2"/>
          <w:sz w:val="24"/>
          <w:szCs w:val="24"/>
          <w:shd w:val="clear" w:fill="FFFFFF"/>
          <w:lang w:val="en-US" w:eastAsia="zh-CN" w:bidi="ar"/>
        </w:rPr>
        <w:t>支出</w:t>
      </w:r>
      <w:r>
        <w:rPr>
          <w:rFonts w:hint="eastAsia" w:ascii="仿宋" w:hAnsi="仿宋" w:eastAsia="仿宋" w:cs="仿宋"/>
          <w:i w:val="0"/>
          <w:iCs w:val="0"/>
          <w:caps w:val="0"/>
          <w:color w:val="333333"/>
          <w:spacing w:val="0"/>
          <w:kern w:val="2"/>
          <w:sz w:val="32"/>
          <w:szCs w:val="32"/>
          <w:shd w:val="clear" w:fill="FFFFFF"/>
          <w:lang w:val="en-US" w:eastAsia="zh-CN" w:bidi="ar"/>
        </w:rPr>
        <w:t>2.92万元，占7%；</w:t>
      </w:r>
      <w:r>
        <w:rPr>
          <w:rFonts w:hint="eastAsia" w:ascii="微软雅黑" w:hAnsi="微软雅黑" w:eastAsia="微软雅黑" w:cs="微软雅黑"/>
          <w:b/>
          <w:bCs/>
          <w:i w:val="0"/>
          <w:iCs w:val="0"/>
          <w:caps w:val="0"/>
          <w:color w:val="333333"/>
          <w:spacing w:val="0"/>
          <w:kern w:val="2"/>
          <w:sz w:val="24"/>
          <w:szCs w:val="24"/>
          <w:shd w:val="clear" w:fill="FFFFFF"/>
          <w:lang w:val="en-US" w:eastAsia="zh-CN" w:bidi="ar"/>
        </w:rPr>
        <w:t>医疗卫生与计划生育支出</w:t>
      </w:r>
      <w:r>
        <w:rPr>
          <w:rFonts w:hint="eastAsia" w:ascii="仿宋" w:hAnsi="仿宋" w:eastAsia="仿宋" w:cs="仿宋"/>
          <w:b/>
          <w:bCs/>
          <w:i w:val="0"/>
          <w:iCs w:val="0"/>
          <w:caps w:val="0"/>
          <w:color w:val="333333"/>
          <w:spacing w:val="0"/>
          <w:kern w:val="2"/>
          <w:sz w:val="32"/>
          <w:szCs w:val="32"/>
          <w:shd w:val="clear" w:fill="FFFFFF"/>
          <w:lang w:val="en-US" w:eastAsia="zh-CN" w:bidi="ar"/>
        </w:rPr>
        <w:t>1.29万元，占</w:t>
      </w:r>
      <w:r>
        <w:rPr>
          <w:rFonts w:hint="eastAsia" w:ascii="仿宋" w:hAnsi="仿宋" w:eastAsia="仿宋" w:cs="仿宋"/>
          <w:i w:val="0"/>
          <w:iCs w:val="0"/>
          <w:caps w:val="0"/>
          <w:color w:val="333333"/>
          <w:spacing w:val="0"/>
          <w:kern w:val="2"/>
          <w:sz w:val="32"/>
          <w:szCs w:val="32"/>
          <w:shd w:val="clear" w:fill="FFFFFF"/>
          <w:lang w:val="en-US" w:eastAsia="zh-CN" w:bidi="ar"/>
        </w:rPr>
        <w:t>3%；</w:t>
      </w:r>
      <w:r>
        <w:rPr>
          <w:rFonts w:hint="eastAsia" w:ascii="微软雅黑" w:hAnsi="微软雅黑" w:eastAsia="微软雅黑" w:cs="微软雅黑"/>
          <w:b/>
          <w:bCs/>
          <w:i w:val="0"/>
          <w:iCs w:val="0"/>
          <w:caps w:val="0"/>
          <w:color w:val="333333"/>
          <w:spacing w:val="0"/>
          <w:kern w:val="2"/>
          <w:sz w:val="24"/>
          <w:szCs w:val="24"/>
          <w:shd w:val="clear" w:fill="FFFFFF"/>
          <w:lang w:val="en-US" w:eastAsia="zh-CN" w:bidi="ar"/>
        </w:rPr>
        <w:t>住房保障（类）</w:t>
      </w:r>
      <w:r>
        <w:rPr>
          <w:rFonts w:hint="eastAsia" w:ascii="微软雅黑" w:hAnsi="微软雅黑" w:eastAsia="微软雅黑" w:cs="微软雅黑"/>
          <w:i w:val="0"/>
          <w:iCs w:val="0"/>
          <w:caps w:val="0"/>
          <w:color w:val="333333"/>
          <w:spacing w:val="0"/>
          <w:kern w:val="2"/>
          <w:sz w:val="24"/>
          <w:szCs w:val="24"/>
          <w:shd w:val="clear" w:fill="FFFFFF"/>
          <w:lang w:val="en-US" w:eastAsia="zh-CN" w:bidi="ar"/>
        </w:rPr>
        <w:t>支出</w:t>
      </w:r>
      <w:r>
        <w:rPr>
          <w:rFonts w:hint="eastAsia" w:ascii="仿宋" w:hAnsi="仿宋" w:eastAsia="仿宋" w:cs="仿宋"/>
          <w:i w:val="0"/>
          <w:iCs w:val="0"/>
          <w:caps w:val="0"/>
          <w:color w:val="333333"/>
          <w:spacing w:val="0"/>
          <w:kern w:val="2"/>
          <w:sz w:val="32"/>
          <w:szCs w:val="32"/>
          <w:shd w:val="clear" w:fill="FFFFFF"/>
          <w:lang w:val="en-US" w:eastAsia="zh-CN" w:bidi="ar"/>
        </w:rPr>
        <w:t>2.41万元，占5%。</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3" w:firstLineChars="200"/>
        <w:jc w:val="left"/>
      </w:pPr>
      <w:r>
        <w:rPr>
          <w:rFonts w:hint="default" w:ascii="仿宋_GB2312" w:hAnsi="仿宋" w:eastAsia="仿宋_GB2312" w:cs="仿宋_GB2312"/>
          <w:b/>
          <w:bCs/>
          <w:kern w:val="2"/>
          <w:sz w:val="32"/>
          <w:szCs w:val="32"/>
          <w:lang w:val="en-US" w:eastAsia="zh-CN" w:bidi="ar"/>
        </w:rPr>
        <w:t>（四）一般公共预算财政拨款支出决算具体情况。</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2019年度一般公共预算财政拨款支出年初预算为49.82万元，支出决算为43.36万元，完成年初预算的87%。决算数小于预算数的主要原因:一是依据</w:t>
      </w:r>
      <w:r>
        <w:rPr>
          <w:rFonts w:hint="default" w:ascii="仿宋_GB2312" w:hAnsi="仿宋" w:eastAsia="仿宋_GB2312" w:cs="Times New Roman"/>
          <w:kern w:val="2"/>
          <w:sz w:val="32"/>
          <w:szCs w:val="32"/>
          <w:lang w:val="en-US" w:eastAsia="zh-CN" w:bidi="ar"/>
        </w:rPr>
        <w:t>“八项规定”和厉行节约的原则,</w:t>
      </w:r>
      <w:r>
        <w:rPr>
          <w:rFonts w:hint="default" w:ascii="仿宋_GB2312" w:hAnsi="仿宋" w:eastAsia="仿宋_GB2312" w:cs="仿宋_GB2312"/>
          <w:kern w:val="2"/>
          <w:sz w:val="32"/>
          <w:szCs w:val="32"/>
          <w:lang w:val="en-US" w:eastAsia="zh-CN" w:bidi="ar"/>
        </w:rPr>
        <w:t>压缩开支。其中:基本支出43.36万元，占100%；项目支出0万元，占0%。具体情况如下：</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1.</w:t>
      </w:r>
      <w:r>
        <w:rPr>
          <w:rFonts w:hint="eastAsia" w:ascii="仿宋" w:hAnsi="仿宋" w:eastAsia="仿宋" w:cs="仿宋"/>
          <w:b/>
          <w:bCs/>
          <w:i w:val="0"/>
          <w:iCs w:val="0"/>
          <w:caps w:val="0"/>
          <w:color w:val="333333"/>
          <w:spacing w:val="0"/>
          <w:kern w:val="2"/>
          <w:sz w:val="32"/>
          <w:szCs w:val="32"/>
          <w:shd w:val="clear" w:fill="FFFFFF"/>
          <w:lang w:val="en-US" w:eastAsia="zh-CN" w:bidi="ar"/>
        </w:rPr>
        <w:t>一般公共服务支出（类）政府办公厅（室）及相关机构事务（款）行政运行（项）</w:t>
      </w:r>
      <w:r>
        <w:rPr>
          <w:rFonts w:hint="eastAsia" w:ascii="仿宋" w:hAnsi="仿宋" w:eastAsia="仿宋" w:cs="仿宋"/>
          <w:i w:val="0"/>
          <w:iCs w:val="0"/>
          <w:caps w:val="0"/>
          <w:color w:val="333333"/>
          <w:spacing w:val="0"/>
          <w:kern w:val="2"/>
          <w:sz w:val="32"/>
          <w:szCs w:val="32"/>
          <w:shd w:val="clear" w:fill="FFFFFF"/>
          <w:lang w:val="en-US" w:eastAsia="zh-CN" w:bidi="ar"/>
        </w:rPr>
        <w:t>：年初预算为2.43万元，支出决算为2.27万元，完成年初预算的93%，决算数小于预算数的主要原因是</w:t>
      </w:r>
      <w:r>
        <w:rPr>
          <w:rFonts w:hint="eastAsia" w:ascii="仿宋" w:hAnsi="仿宋" w:eastAsia="仿宋" w:cs="仿宋"/>
          <w:i w:val="0"/>
          <w:iCs w:val="0"/>
          <w:caps w:val="0"/>
          <w:color w:val="000000"/>
          <w:spacing w:val="0"/>
          <w:kern w:val="2"/>
          <w:sz w:val="32"/>
          <w:szCs w:val="32"/>
          <w:shd w:val="clear" w:fill="FFFFFF"/>
          <w:lang w:val="en-US" w:eastAsia="zh-CN" w:bidi="ar"/>
        </w:rPr>
        <w:t>认真贯彻落实中央八项规定精神，严格控制各项经费支出</w:t>
      </w:r>
      <w:r>
        <w:rPr>
          <w:rFonts w:hint="eastAsia" w:ascii="仿宋" w:hAnsi="仿宋" w:eastAsia="仿宋" w:cs="仿宋"/>
          <w:i w:val="0"/>
          <w:iCs w:val="0"/>
          <w:caps w:val="0"/>
          <w:color w:val="333333"/>
          <w:spacing w:val="0"/>
          <w:kern w:val="2"/>
          <w:sz w:val="32"/>
          <w:szCs w:val="32"/>
          <w:shd w:val="clear" w:fill="FFFFFF"/>
          <w:lang w:val="en-US" w:eastAsia="zh-CN" w:bidi="ar"/>
        </w:rPr>
        <w:t>。</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320" w:firstLineChars="100"/>
        <w:jc w:val="left"/>
      </w:pPr>
      <w:r>
        <w:rPr>
          <w:rFonts w:hint="default" w:ascii="仿宋_GB2312" w:hAnsi="仿宋" w:eastAsia="仿宋_GB2312" w:cs="仿宋_GB2312"/>
          <w:kern w:val="2"/>
          <w:sz w:val="32"/>
          <w:szCs w:val="32"/>
          <w:lang w:val="en-US" w:eastAsia="zh-CN" w:bidi="ar"/>
        </w:rPr>
        <w:t>2.</w:t>
      </w:r>
      <w:r>
        <w:rPr>
          <w:rFonts w:hint="eastAsia" w:ascii="仿宋" w:hAnsi="仿宋" w:eastAsia="仿宋" w:cs="仿宋"/>
          <w:b/>
          <w:bCs/>
          <w:i w:val="0"/>
          <w:iCs w:val="0"/>
          <w:caps w:val="0"/>
          <w:color w:val="333333"/>
          <w:spacing w:val="0"/>
          <w:kern w:val="2"/>
          <w:sz w:val="32"/>
          <w:szCs w:val="32"/>
          <w:shd w:val="clear" w:fill="FFFFFF"/>
          <w:lang w:val="en-US" w:eastAsia="zh-CN" w:bidi="ar"/>
        </w:rPr>
        <w:t>一般公共服务（类）商贸事务（款）行政运行（项）</w:t>
      </w:r>
      <w:r>
        <w:rPr>
          <w:rFonts w:hint="eastAsia" w:ascii="仿宋" w:hAnsi="仿宋" w:eastAsia="仿宋" w:cs="仿宋"/>
          <w:i w:val="0"/>
          <w:iCs w:val="0"/>
          <w:caps w:val="0"/>
          <w:color w:val="333333"/>
          <w:spacing w:val="0"/>
          <w:kern w:val="2"/>
          <w:sz w:val="32"/>
          <w:szCs w:val="32"/>
          <w:shd w:val="clear" w:fill="FFFFFF"/>
          <w:lang w:val="en-US" w:eastAsia="zh-CN" w:bidi="ar"/>
        </w:rPr>
        <w:t>：年初预算为 39.39万元，支出决算为34.47万元，完成年初预算的88%，决算数小于预算数的主要原因是</w:t>
      </w:r>
      <w:r>
        <w:rPr>
          <w:rFonts w:hint="eastAsia" w:ascii="仿宋" w:hAnsi="仿宋" w:eastAsia="仿宋" w:cs="仿宋"/>
          <w:i w:val="0"/>
          <w:iCs w:val="0"/>
          <w:caps w:val="0"/>
          <w:color w:val="000000"/>
          <w:spacing w:val="0"/>
          <w:kern w:val="2"/>
          <w:sz w:val="32"/>
          <w:szCs w:val="32"/>
          <w:shd w:val="clear" w:fill="FFFFFF"/>
          <w:lang w:val="en-US" w:eastAsia="zh-CN" w:bidi="ar"/>
        </w:rPr>
        <w:t>认真贯彻落实中央八项规定精神，严格控制各项经费支出</w:t>
      </w:r>
      <w:r>
        <w:rPr>
          <w:rFonts w:hint="eastAsia" w:ascii="仿宋" w:hAnsi="仿宋" w:eastAsia="仿宋" w:cs="仿宋"/>
          <w:i w:val="0"/>
          <w:iCs w:val="0"/>
          <w:caps w:val="0"/>
          <w:color w:val="333333"/>
          <w:spacing w:val="0"/>
          <w:kern w:val="2"/>
          <w:sz w:val="32"/>
          <w:szCs w:val="32"/>
          <w:shd w:val="clear" w:fill="FFFFFF"/>
          <w:lang w:val="en-US" w:eastAsia="zh-CN" w:bidi="ar"/>
        </w:rPr>
        <w:t>。</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320" w:firstLineChars="100"/>
        <w:jc w:val="left"/>
      </w:pPr>
      <w:r>
        <w:rPr>
          <w:rFonts w:hint="default" w:ascii="仿宋_GB2312" w:hAnsi="仿宋" w:eastAsia="仿宋_GB2312" w:cs="仿宋_GB2312"/>
          <w:kern w:val="2"/>
          <w:sz w:val="32"/>
          <w:szCs w:val="32"/>
          <w:lang w:val="en-US" w:eastAsia="zh-CN" w:bidi="ar"/>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40" w:lineRule="exact"/>
        <w:ind w:left="0" w:right="0" w:firstLine="628"/>
        <w:jc w:val="left"/>
      </w:pPr>
      <w:r>
        <w:rPr>
          <w:rFonts w:hint="eastAsia" w:ascii="仿宋" w:hAnsi="仿宋" w:eastAsia="仿宋" w:cs="仿宋"/>
          <w:i w:val="0"/>
          <w:iCs w:val="0"/>
          <w:caps w:val="0"/>
          <w:color w:val="333333"/>
          <w:spacing w:val="0"/>
          <w:kern w:val="0"/>
          <w:sz w:val="32"/>
          <w:szCs w:val="32"/>
          <w:bdr w:val="none" w:color="auto" w:sz="0" w:space="0"/>
          <w:shd w:val="clear" w:fill="FFFFFF"/>
        </w:rPr>
        <w:t>3.</w:t>
      </w:r>
      <w:r>
        <w:rPr>
          <w:rFonts w:hint="eastAsia" w:ascii="仿宋" w:hAnsi="仿宋" w:eastAsia="仿宋" w:cs="仿宋"/>
          <w:b/>
          <w:bCs/>
          <w:i w:val="0"/>
          <w:iCs w:val="0"/>
          <w:caps w:val="0"/>
          <w:color w:val="333333"/>
          <w:spacing w:val="0"/>
          <w:kern w:val="0"/>
          <w:sz w:val="32"/>
          <w:szCs w:val="32"/>
          <w:bdr w:val="none" w:color="auto" w:sz="0" w:space="0"/>
          <w:shd w:val="clear" w:fill="FFFFFF"/>
        </w:rPr>
        <w:t>一般公共服务（类）商贸事务（款）一般行政管理事务（项）</w:t>
      </w:r>
      <w:r>
        <w:rPr>
          <w:rFonts w:hint="eastAsia" w:ascii="仿宋" w:hAnsi="仿宋" w:eastAsia="仿宋" w:cs="仿宋"/>
          <w:i w:val="0"/>
          <w:iCs w:val="0"/>
          <w:caps w:val="0"/>
          <w:color w:val="333333"/>
          <w:spacing w:val="0"/>
          <w:kern w:val="0"/>
          <w:sz w:val="32"/>
          <w:szCs w:val="32"/>
          <w:bdr w:val="none" w:color="auto" w:sz="0" w:space="0"/>
          <w:shd w:val="clear" w:fill="FFFFFF"/>
        </w:rPr>
        <w:t>：年初预算为8万元，支出决算为4.54万元，完成年初预算的57%，决算数小于预算数的主要原因是</w:t>
      </w:r>
      <w:r>
        <w:rPr>
          <w:rFonts w:hint="eastAsia" w:ascii="仿宋" w:hAnsi="仿宋" w:eastAsia="仿宋" w:cs="仿宋"/>
          <w:i w:val="0"/>
          <w:iCs w:val="0"/>
          <w:caps w:val="0"/>
          <w:color w:val="000000"/>
          <w:spacing w:val="0"/>
          <w:kern w:val="0"/>
          <w:sz w:val="32"/>
          <w:szCs w:val="32"/>
          <w:bdr w:val="none" w:color="auto" w:sz="0" w:space="0"/>
          <w:shd w:val="clear" w:fill="FFFFFF"/>
        </w:rPr>
        <w:t>认真贯彻落实中央八项规定精神，严格控制各项经费支出</w:t>
      </w:r>
      <w:r>
        <w:rPr>
          <w:rFonts w:hint="eastAsia" w:ascii="仿宋" w:hAnsi="仿宋" w:eastAsia="仿宋" w:cs="仿宋"/>
          <w:i w:val="0"/>
          <w:iCs w:val="0"/>
          <w:caps w:val="0"/>
          <w:color w:val="333333"/>
          <w:spacing w:val="0"/>
          <w:kern w:val="0"/>
          <w:sz w:val="32"/>
          <w:szCs w:val="3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40" w:lineRule="exact"/>
        <w:ind w:left="0" w:right="0" w:firstLine="628"/>
        <w:jc w:val="left"/>
      </w:pPr>
      <w:r>
        <w:rPr>
          <w:rFonts w:hint="eastAsia" w:ascii="仿宋" w:hAnsi="仿宋" w:eastAsia="仿宋" w:cs="仿宋"/>
          <w:b/>
          <w:bCs/>
          <w:i w:val="0"/>
          <w:iCs w:val="0"/>
          <w:caps w:val="0"/>
          <w:color w:val="333333"/>
          <w:spacing w:val="0"/>
          <w:kern w:val="0"/>
          <w:sz w:val="32"/>
          <w:szCs w:val="32"/>
          <w:bdr w:val="none" w:color="auto" w:sz="0" w:space="0"/>
          <w:shd w:val="clear" w:fill="FFFFFF"/>
        </w:rPr>
        <w:t>4.社会保障和就业支出（类）行政事业单位离退休（款）机关事业单位基本养老保险缴费支出（项）</w:t>
      </w:r>
      <w:r>
        <w:rPr>
          <w:rFonts w:hint="eastAsia" w:ascii="仿宋" w:hAnsi="仿宋" w:eastAsia="仿宋" w:cs="仿宋"/>
          <w:i w:val="0"/>
          <w:iCs w:val="0"/>
          <w:caps w:val="0"/>
          <w:color w:val="333333"/>
          <w:spacing w:val="0"/>
          <w:kern w:val="0"/>
          <w:sz w:val="32"/>
          <w:szCs w:val="32"/>
          <w:bdr w:val="none" w:color="auto" w:sz="0" w:space="0"/>
          <w:shd w:val="clear" w:fill="FFFFFF"/>
        </w:rPr>
        <w:t>：年初预算为3.22万元，支出决算为2.92万元，完成年初预算的91%。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40" w:lineRule="exact"/>
        <w:ind w:left="0" w:right="0" w:firstLine="628"/>
        <w:jc w:val="left"/>
      </w:pPr>
      <w:r>
        <w:rPr>
          <w:rFonts w:hint="eastAsia" w:ascii="仿宋" w:hAnsi="仿宋" w:eastAsia="仿宋" w:cs="仿宋"/>
          <w:b/>
          <w:bCs/>
          <w:i w:val="0"/>
          <w:iCs w:val="0"/>
          <w:caps w:val="0"/>
          <w:color w:val="333333"/>
          <w:spacing w:val="0"/>
          <w:kern w:val="0"/>
          <w:sz w:val="32"/>
          <w:szCs w:val="32"/>
          <w:bdr w:val="none" w:color="auto" w:sz="0" w:space="0"/>
          <w:shd w:val="clear" w:fill="FFFFFF"/>
        </w:rPr>
        <w:t>5.医疗卫生与计划生育支出（类）行政事业单位医疗（款）行政单位医疗（项）</w:t>
      </w:r>
      <w:r>
        <w:rPr>
          <w:rFonts w:hint="eastAsia" w:ascii="仿宋" w:hAnsi="仿宋" w:eastAsia="仿宋" w:cs="仿宋"/>
          <w:i w:val="0"/>
          <w:iCs w:val="0"/>
          <w:caps w:val="0"/>
          <w:color w:val="333333"/>
          <w:spacing w:val="0"/>
          <w:kern w:val="0"/>
          <w:sz w:val="32"/>
          <w:szCs w:val="32"/>
          <w:bdr w:val="none" w:color="auto" w:sz="0" w:space="0"/>
          <w:shd w:val="clear" w:fill="FFFFFF"/>
        </w:rPr>
        <w:t>：年初预算为1.29万元，支出决算1.29万元，完成年初预算的100%。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40" w:lineRule="exact"/>
        <w:ind w:left="0" w:right="0" w:firstLine="628"/>
        <w:jc w:val="left"/>
      </w:pPr>
      <w:r>
        <w:rPr>
          <w:rFonts w:hint="eastAsia" w:ascii="仿宋" w:hAnsi="仿宋" w:eastAsia="仿宋" w:cs="仿宋"/>
          <w:b/>
          <w:bCs/>
          <w:i w:val="0"/>
          <w:iCs w:val="0"/>
          <w:caps w:val="0"/>
          <w:color w:val="333333"/>
          <w:spacing w:val="0"/>
          <w:kern w:val="0"/>
          <w:sz w:val="32"/>
          <w:szCs w:val="32"/>
          <w:bdr w:val="none" w:color="auto" w:sz="0" w:space="0"/>
          <w:shd w:val="clear" w:fill="FFFFFF"/>
        </w:rPr>
        <w:t>7.医疗卫生与计划生育支出（类）行政事业单位医疗（款）公务员医疗补助（项）：</w:t>
      </w:r>
      <w:r>
        <w:rPr>
          <w:rFonts w:hint="eastAsia" w:ascii="仿宋" w:hAnsi="仿宋" w:eastAsia="仿宋" w:cs="仿宋"/>
          <w:i w:val="0"/>
          <w:iCs w:val="0"/>
          <w:caps w:val="0"/>
          <w:color w:val="333333"/>
          <w:spacing w:val="0"/>
          <w:kern w:val="0"/>
          <w:sz w:val="32"/>
          <w:szCs w:val="32"/>
          <w:bdr w:val="none" w:color="auto" w:sz="0" w:space="0"/>
          <w:shd w:val="clear" w:fill="FFFFFF"/>
        </w:rPr>
        <w:t>年初预算为0.32万元，支出决算0.32万元，完成年初预算的100%。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40" w:lineRule="exact"/>
        <w:ind w:left="0" w:right="0" w:firstLine="628"/>
        <w:jc w:val="left"/>
      </w:pPr>
      <w:r>
        <w:rPr>
          <w:rFonts w:hint="eastAsia" w:ascii="仿宋" w:hAnsi="仿宋" w:eastAsia="仿宋" w:cs="仿宋"/>
          <w:b/>
          <w:bCs/>
          <w:i w:val="0"/>
          <w:iCs w:val="0"/>
          <w:caps w:val="0"/>
          <w:color w:val="333333"/>
          <w:spacing w:val="0"/>
          <w:kern w:val="0"/>
          <w:sz w:val="32"/>
          <w:szCs w:val="32"/>
          <w:bdr w:val="none" w:color="auto" w:sz="0" w:space="0"/>
          <w:shd w:val="clear" w:fill="FFFFFF"/>
        </w:rPr>
        <w:t>8.住房保障支出（类）住房改革支出（款）住房公积金（项）：</w:t>
      </w:r>
      <w:r>
        <w:rPr>
          <w:rFonts w:hint="eastAsia" w:ascii="仿宋" w:hAnsi="仿宋" w:eastAsia="仿宋" w:cs="仿宋"/>
          <w:i w:val="0"/>
          <w:iCs w:val="0"/>
          <w:caps w:val="0"/>
          <w:color w:val="333333"/>
          <w:spacing w:val="0"/>
          <w:kern w:val="0"/>
          <w:sz w:val="32"/>
          <w:szCs w:val="32"/>
          <w:bdr w:val="none" w:color="auto" w:sz="0" w:space="0"/>
          <w:shd w:val="clear" w:fill="FFFFFF"/>
        </w:rPr>
        <w:t>年初预算为1.93万元，支出决算1.93万元，完成年初预算的100%。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40" w:lineRule="exact"/>
        <w:ind w:left="0" w:right="0" w:firstLine="628"/>
        <w:jc w:val="left"/>
      </w:pPr>
      <w:r>
        <w:rPr>
          <w:rFonts w:hint="eastAsia" w:ascii="仿宋" w:hAnsi="仿宋" w:eastAsia="仿宋" w:cs="仿宋"/>
          <w:b/>
          <w:bCs/>
          <w:i w:val="0"/>
          <w:iCs w:val="0"/>
          <w:caps w:val="0"/>
          <w:color w:val="333333"/>
          <w:spacing w:val="0"/>
          <w:kern w:val="0"/>
          <w:sz w:val="32"/>
          <w:szCs w:val="32"/>
          <w:bdr w:val="none" w:color="auto" w:sz="0" w:space="0"/>
          <w:shd w:val="clear" w:fill="FFFFFF"/>
        </w:rPr>
        <w:t>9. 住房保障支出（类）住房改革支出（款）提租补贴（项）：</w:t>
      </w:r>
      <w:r>
        <w:rPr>
          <w:rFonts w:hint="eastAsia" w:ascii="仿宋" w:hAnsi="仿宋" w:eastAsia="仿宋" w:cs="仿宋"/>
          <w:i w:val="0"/>
          <w:iCs w:val="0"/>
          <w:caps w:val="0"/>
          <w:color w:val="333333"/>
          <w:spacing w:val="0"/>
          <w:kern w:val="0"/>
          <w:sz w:val="32"/>
          <w:szCs w:val="32"/>
          <w:bdr w:val="none" w:color="auto" w:sz="0" w:space="0"/>
          <w:shd w:val="clear" w:fill="FFFFFF"/>
        </w:rPr>
        <w:t>年初预算为0.48万元，支出决算0.48万元，完成年初预算的100%。</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320" w:firstLineChars="100"/>
        <w:jc w:val="left"/>
      </w:pPr>
      <w:r>
        <w:rPr>
          <w:rFonts w:hint="default" w:ascii="仿宋_GB2312" w:hAnsi="仿宋" w:eastAsia="仿宋_GB2312" w:cs="仿宋_GB2312"/>
          <w:kern w:val="2"/>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六、一般公共预算财政拨款基本支出决算情况说明</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财政拨款基本支出43.36万元，其中：人员经费32.68万元，主要包括:基本工资、津贴补贴、奖金、伙食补助费、机关事业单位基本养老保险费、职业年金缴费、职工基本医疗保险缴费、公务员医疗补助缴费、住房公积金、医疗费、其他工资福利支出；公用经费10.68万元，主要包括：办公费、邮电费、差旅费、维修（护）费、会议费、培训费、公务接待费、劳务费、其他交通费用、其他商品服务支出、 办公设备购置等。</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七、政府性基金财政拨款收入支出决算情况说明</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2019年度政府性基金预算财政拨款年初结转和结余0万元，本年收入0万元，本年支出0万元，年末结转和结余0万元。具体情况说明如下：</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firstLineChars="200"/>
        <w:jc w:val="left"/>
      </w:pPr>
      <w:r>
        <w:rPr>
          <w:rFonts w:hint="default" w:ascii="楷体_GB2312" w:hAnsi="仿宋" w:eastAsia="楷体_GB2312" w:cs="楷体_GB2312"/>
          <w:kern w:val="2"/>
          <w:sz w:val="32"/>
          <w:szCs w:val="32"/>
          <w:lang w:val="en-US" w:eastAsia="zh-CN" w:bidi="ar"/>
        </w:rPr>
        <w:t>宿州市贸促会没有政府性基金收入，也没有使用政府性基金安排的支出。</w:t>
      </w: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八、其他重要事项情况说明</w:t>
      </w: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43" w:firstLineChars="200"/>
        <w:jc w:val="left"/>
      </w:pPr>
      <w:r>
        <w:rPr>
          <w:rFonts w:hint="default" w:ascii="仿宋_GB2312" w:hAnsi="楷体" w:eastAsia="仿宋_GB2312" w:cs="仿宋_GB2312"/>
          <w:b/>
          <w:bCs/>
          <w:kern w:val="2"/>
          <w:sz w:val="32"/>
          <w:szCs w:val="32"/>
          <w:lang w:val="en-US" w:eastAsia="zh-CN" w:bidi="ar"/>
        </w:rPr>
        <w:t>（一）机关运行经费支出情况。</w:t>
      </w: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2019年度，宿州市贸促会机关运行经费支出10.68万元，比2018年增加1.21万元，增长13%，主要原因是专职领导配备、相关业务活动广泛开展。</w:t>
      </w: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43" w:firstLineChars="200"/>
        <w:jc w:val="left"/>
      </w:pPr>
      <w:r>
        <w:rPr>
          <w:rFonts w:hint="default" w:ascii="仿宋_GB2312" w:hAnsi="楷体" w:eastAsia="仿宋_GB2312" w:cs="仿宋_GB2312"/>
          <w:b/>
          <w:bCs/>
          <w:kern w:val="2"/>
          <w:sz w:val="32"/>
          <w:szCs w:val="32"/>
          <w:lang w:val="en-US" w:eastAsia="zh-CN" w:bidi="ar"/>
        </w:rPr>
        <w:t>（二）政府采购支出情况。</w:t>
      </w: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2019年度，宿州市贸促会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43" w:firstLineChars="200"/>
        <w:jc w:val="left"/>
      </w:pPr>
      <w:r>
        <w:rPr>
          <w:rFonts w:hint="default" w:ascii="仿宋_GB2312" w:hAnsi="楷体" w:eastAsia="仿宋_GB2312" w:cs="仿宋_GB2312"/>
          <w:b/>
          <w:bCs/>
          <w:kern w:val="2"/>
          <w:sz w:val="32"/>
          <w:szCs w:val="32"/>
          <w:lang w:val="en-US" w:eastAsia="zh-CN" w:bidi="ar"/>
        </w:rPr>
        <w:t>（三）国有资产占有使用情况。</w:t>
      </w: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40" w:firstLineChars="200"/>
        <w:jc w:val="left"/>
      </w:pPr>
      <w:r>
        <w:rPr>
          <w:rFonts w:hint="default" w:ascii="仿宋_GB2312" w:hAnsi="楷体" w:eastAsia="仿宋_GB2312" w:cs="仿宋_GB2312"/>
          <w:kern w:val="2"/>
          <w:sz w:val="32"/>
          <w:szCs w:val="32"/>
          <w:lang w:val="en-US" w:eastAsia="zh-CN" w:bidi="ar"/>
        </w:rPr>
        <w:t>截至2019年12月31日，</w:t>
      </w:r>
      <w:r>
        <w:rPr>
          <w:rFonts w:hint="default" w:ascii="仿宋_GB2312" w:hAnsi="仿宋" w:eastAsia="仿宋_GB2312" w:cs="仿宋_GB2312"/>
          <w:kern w:val="2"/>
          <w:sz w:val="32"/>
          <w:szCs w:val="32"/>
          <w:lang w:val="en-US" w:eastAsia="zh-CN" w:bidi="ar"/>
        </w:rPr>
        <w:t>宿州市贸促会部门共有车辆0辆，其中：主要领导干部用车0辆、机要通信用车0辆、应急保障用车0辆，特种专业技术用车0辆，离退休干部用车0辆，其他用车0辆</w:t>
      </w:r>
      <w:r>
        <w:rPr>
          <w:rFonts w:hint="default" w:ascii="楷体_GB2312" w:hAnsi="仿宋" w:eastAsia="楷体_GB2312" w:cs="楷体_GB2312"/>
          <w:kern w:val="2"/>
          <w:sz w:val="32"/>
          <w:szCs w:val="32"/>
          <w:lang w:val="en-US" w:eastAsia="zh-CN" w:bidi="ar"/>
        </w:rPr>
        <w:t>（只列报车辆不为0的车型）</w:t>
      </w:r>
      <w:r>
        <w:rPr>
          <w:rFonts w:hint="default" w:ascii="仿宋_GB2312" w:hAnsi="仿宋" w:eastAsia="仿宋_GB2312" w:cs="仿宋_GB2312"/>
          <w:kern w:val="2"/>
          <w:sz w:val="32"/>
          <w:szCs w:val="32"/>
          <w:lang w:val="en-US" w:eastAsia="zh-CN" w:bidi="ar"/>
        </w:rPr>
        <w:t>；单价50万元以上的通用设备0台（套），单价100万元以上专用设备0台（套）。</w:t>
      </w:r>
      <w:r>
        <w:rPr>
          <w:rFonts w:hint="default" w:ascii="仿宋_GB2312" w:hAnsi="仿宋" w:eastAsia="仿宋_GB2312" w:cs="仿宋_GB2312"/>
          <w:kern w:val="2"/>
          <w:sz w:val="32"/>
          <w:szCs w:val="32"/>
          <w:lang w:val="en-US" w:eastAsia="zh-CN" w:bidi="ar"/>
        </w:rPr>
        <w:br w:type="textWrapping"/>
      </w:r>
      <w:r>
        <w:rPr>
          <w:rFonts w:hint="default" w:ascii="仿宋_GB2312" w:hAnsi="仿宋" w:eastAsia="仿宋_GB2312" w:cs="仿宋_GB2312"/>
          <w:kern w:val="2"/>
          <w:sz w:val="32"/>
          <w:szCs w:val="32"/>
          <w:lang w:val="en-US" w:eastAsia="zh-CN" w:bidi="ar"/>
        </w:rPr>
        <w:t xml:space="preserve"> </w:t>
      </w:r>
      <w:r>
        <w:rPr>
          <w:rFonts w:hint="default" w:ascii="仿宋_GB2312" w:hAnsi="仿宋" w:eastAsia="仿宋_GB2312" w:cs="仿宋_GB2312"/>
          <w:b/>
          <w:bCs/>
          <w:i/>
          <w:iCs/>
          <w:kern w:val="2"/>
          <w:sz w:val="32"/>
          <w:szCs w:val="32"/>
          <w:lang w:val="en-US" w:eastAsia="zh-CN" w:bidi="ar"/>
        </w:rPr>
        <w:t xml:space="preserve"> </w:t>
      </w:r>
      <w:r>
        <w:rPr>
          <w:rFonts w:hint="default" w:ascii="仿宋_GB2312" w:hAnsi="仿宋" w:eastAsia="仿宋_GB2312" w:cs="仿宋_GB2312"/>
          <w:kern w:val="2"/>
          <w:sz w:val="32"/>
          <w:szCs w:val="32"/>
          <w:lang w:val="en-US" w:eastAsia="zh-CN" w:bidi="ar"/>
        </w:rPr>
        <w:t xml:space="preserve"> </w:t>
      </w:r>
      <w:r>
        <w:rPr>
          <w:rFonts w:hint="default" w:ascii="仿宋_GB2312" w:hAnsi="仿宋" w:eastAsia="仿宋_GB2312" w:cs="仿宋_GB2312"/>
          <w:b/>
          <w:bCs/>
          <w:kern w:val="2"/>
          <w:sz w:val="32"/>
          <w:szCs w:val="32"/>
          <w:lang w:val="en-US" w:eastAsia="zh-CN" w:bidi="ar"/>
        </w:rPr>
        <w:t>（四）关于2019年度预算绩效情况说明</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3" w:firstLineChars="200"/>
        <w:jc w:val="left"/>
      </w:pPr>
      <w:r>
        <w:rPr>
          <w:rFonts w:hint="default" w:ascii="仿宋_GB2312" w:eastAsia="仿宋_GB2312" w:cs="仿宋_GB2312" w:hAnsiTheme="minorHAnsi"/>
          <w:b/>
          <w:bCs/>
          <w:kern w:val="2"/>
          <w:sz w:val="32"/>
          <w:szCs w:val="32"/>
          <w:lang w:val="en-US" w:eastAsia="zh-CN" w:bidi="ar"/>
        </w:rPr>
        <w:t>1.预算绩效管理工作开展情况</w:t>
      </w: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根据预算绩效管理要求，本部门组织对2019年度纳入部门预算的项目支出全面开展了绩效自评，共0项目，涉及资金0万元，占项目预算总额的0%。</w:t>
      </w: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40" w:firstLineChars="200"/>
        <w:jc w:val="left"/>
      </w:pPr>
      <w:r>
        <w:rPr>
          <w:rFonts w:hint="default" w:ascii="仿宋_GB2312" w:hAnsi="仿宋" w:eastAsia="仿宋_GB2312" w:cs="仿宋_GB2312"/>
          <w:kern w:val="2"/>
          <w:sz w:val="32"/>
          <w:szCs w:val="32"/>
          <w:lang w:val="en-US" w:eastAsia="zh-CN" w:bidi="ar"/>
        </w:rPr>
        <w:t>本部门共组织对0个项目开展了重点绩效评价，涉及资金0万元。上述项目均委托第三方机构开展绩效评价。</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3" w:firstLineChars="200"/>
        <w:jc w:val="left"/>
      </w:pPr>
      <w:r>
        <w:rPr>
          <w:rFonts w:hint="default" w:ascii="仿宋_GB2312" w:eastAsia="仿宋_GB2312" w:cs="仿宋_GB2312" w:hAnsiTheme="minorHAnsi"/>
          <w:b/>
          <w:bCs/>
          <w:kern w:val="2"/>
          <w:sz w:val="32"/>
          <w:szCs w:val="32"/>
          <w:lang w:val="en-US" w:eastAsia="zh-CN" w:bidi="ar"/>
        </w:rPr>
        <w:t>2.部门决算中项目绩效自评结果</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jc w:val="left"/>
      </w:pPr>
      <w:r>
        <w:rPr>
          <w:rFonts w:hint="default" w:ascii="仿宋_GB2312" w:hAnsi="仿宋" w:eastAsia="仿宋_GB2312" w:cs="仿宋_GB2312"/>
          <w:kern w:val="2"/>
          <w:sz w:val="32"/>
          <w:szCs w:val="32"/>
          <w:lang w:val="en-US" w:eastAsia="zh-CN" w:bidi="ar"/>
        </w:rPr>
        <w:t>宿州市贸促会</w:t>
      </w:r>
      <w:r>
        <w:rPr>
          <w:rFonts w:hint="default" w:ascii="仿宋_GB2312" w:eastAsia="仿宋_GB2312" w:cs="仿宋_GB2312" w:hAnsiTheme="minorHAnsi"/>
          <w:kern w:val="2"/>
          <w:sz w:val="32"/>
          <w:szCs w:val="32"/>
          <w:lang w:val="en-US" w:eastAsia="zh-CN" w:bidi="ar"/>
        </w:rPr>
        <w:t>在2019年度部门决算中公开0个项目绩效自评结果。</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3" w:firstLineChars="200"/>
        <w:jc w:val="left"/>
        <w:rPr>
          <w:rFonts w:hint="default" w:ascii="仿宋_GB2312" w:eastAsia="仿宋_GB2312" w:cs="仿宋_GB2312" w:hAnsiTheme="minorHAnsi"/>
          <w:b/>
          <w:bCs/>
          <w:kern w:val="2"/>
          <w:sz w:val="32"/>
          <w:szCs w:val="32"/>
          <w:lang w:val="en-US" w:eastAsia="zh-CN" w:bidi="ar"/>
        </w:rPr>
      </w:pPr>
      <w:r>
        <w:rPr>
          <w:rFonts w:hint="default" w:ascii="仿宋_GB2312" w:eastAsia="仿宋_GB2312" w:cs="仿宋_GB2312" w:hAnsiTheme="minorHAnsi"/>
          <w:b/>
          <w:bCs/>
          <w:kern w:val="2"/>
          <w:sz w:val="32"/>
          <w:szCs w:val="32"/>
          <w:lang w:val="en-US" w:eastAsia="zh-CN" w:bidi="ar"/>
        </w:rPr>
        <w:t>3.部门评价项目绩效评价结果。</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     宿州市贸促会2019年无部门评价项目绩效评价。</w:t>
      </w: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jc w:val="left"/>
      </w:pPr>
    </w:p>
    <w:p>
      <w:pPr>
        <w:keepNext w:val="0"/>
        <w:keepLines w:val="0"/>
        <w:pageBreakBefore w:val="0"/>
        <w:widowControl/>
        <w:suppressLineNumbers w:val="0"/>
        <w:kinsoku/>
        <w:overflowPunct/>
        <w:topLinePunct w:val="0"/>
        <w:autoSpaceDE/>
        <w:autoSpaceDN/>
        <w:bidi w:val="0"/>
        <w:spacing w:before="0" w:beforeAutospacing="1" w:after="0" w:afterAutospacing="1" w:line="540" w:lineRule="exact"/>
        <w:ind w:left="0" w:right="0" w:firstLine="640"/>
        <w:jc w:val="left"/>
      </w:pP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              第四部分 名词解释</w:t>
      </w: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425" w:right="0" w:firstLine="206" w:firstLineChars="64"/>
        <w:jc w:val="left"/>
      </w:pPr>
      <w:r>
        <w:rPr>
          <w:rFonts w:hint="default" w:ascii="仿宋_GB2312" w:hAnsi="仿宋" w:eastAsia="仿宋_GB2312" w:cs="仿宋_GB2312"/>
          <w:b/>
          <w:bCs/>
          <w:kern w:val="2"/>
          <w:sz w:val="32"/>
          <w:szCs w:val="32"/>
          <w:lang w:val="en-US" w:eastAsia="zh-CN" w:bidi="ar"/>
        </w:rPr>
        <w:t>一、财政拨款收入：</w:t>
      </w:r>
      <w:r>
        <w:rPr>
          <w:rFonts w:hint="default" w:ascii="仿宋_GB2312" w:hAnsi="仿宋" w:eastAsia="仿宋_GB2312" w:cs="仿宋_GB2312"/>
          <w:kern w:val="2"/>
          <w:sz w:val="32"/>
          <w:szCs w:val="32"/>
          <w:lang w:val="en-US" w:eastAsia="zh-CN" w:bidi="ar"/>
        </w:rPr>
        <w:t>指单位从同级财政部门取得的财政预算资金。</w:t>
      </w:r>
    </w:p>
    <w:p>
      <w:pPr>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43" w:firstLineChars="200"/>
        <w:jc w:val="left"/>
      </w:pPr>
      <w:r>
        <w:rPr>
          <w:rFonts w:hint="default" w:ascii="仿宋_GB2312" w:hAnsi="仿宋" w:eastAsia="仿宋_GB2312" w:cs="仿宋_GB2312"/>
          <w:b/>
          <w:bCs/>
          <w:kern w:val="2"/>
          <w:sz w:val="32"/>
          <w:szCs w:val="32"/>
          <w:lang w:val="en-US" w:eastAsia="zh-CN" w:bidi="ar"/>
        </w:rPr>
        <w:t>二、事业收入：</w:t>
      </w:r>
      <w:r>
        <w:rPr>
          <w:rFonts w:hint="default" w:ascii="仿宋_GB2312" w:hAnsi="仿宋" w:eastAsia="仿宋_GB2312" w:cs="仿宋_GB2312"/>
          <w:kern w:val="2"/>
          <w:sz w:val="32"/>
          <w:szCs w:val="32"/>
          <w:lang w:val="en-US" w:eastAsia="zh-CN" w:bidi="ar"/>
        </w:rPr>
        <w:t>指事业单位开展专业业务活动及辅助活动所取得的收入。</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30" w:firstLineChars="196"/>
      </w:pPr>
      <w:r>
        <w:rPr>
          <w:rFonts w:hint="default" w:ascii="仿宋_GB2312" w:hAnsi="宋体" w:eastAsia="仿宋_GB2312" w:cs="仿宋_GB2312"/>
          <w:b/>
          <w:bCs/>
          <w:kern w:val="0"/>
          <w:sz w:val="32"/>
          <w:szCs w:val="32"/>
        </w:rPr>
        <w:t>三、上级补助收入：</w:t>
      </w:r>
      <w:r>
        <w:rPr>
          <w:rFonts w:hint="default" w:ascii="仿宋_GB2312" w:hAnsi="宋体" w:eastAsia="仿宋_GB2312" w:cs="仿宋_GB2312"/>
          <w:kern w:val="0"/>
          <w:sz w:val="32"/>
          <w:szCs w:val="32"/>
        </w:rPr>
        <w:t>指</w:t>
      </w:r>
      <w:r>
        <w:rPr>
          <w:rFonts w:hint="default" w:ascii="仿宋_GB2312" w:hAnsi="仿宋" w:eastAsia="仿宋_GB2312" w:cs="仿宋_GB2312"/>
          <w:kern w:val="2"/>
          <w:sz w:val="32"/>
          <w:szCs w:val="32"/>
        </w:rPr>
        <w:t>事业单位从主管部门和上级单位取得的非财政补助收入。</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40" w:lineRule="exact"/>
        <w:ind w:left="0" w:right="0" w:firstLine="630" w:firstLineChars="196"/>
      </w:pPr>
      <w:r>
        <w:rPr>
          <w:rFonts w:hint="default" w:ascii="仿宋_GB2312" w:hAnsi="宋体" w:eastAsia="仿宋_GB2312" w:cs="仿宋_GB2312"/>
          <w:b/>
          <w:bCs/>
          <w:kern w:val="0"/>
          <w:sz w:val="32"/>
          <w:szCs w:val="32"/>
        </w:rPr>
        <w:t>四、附属单位上缴收入：</w:t>
      </w:r>
      <w:r>
        <w:rPr>
          <w:rFonts w:hint="default" w:ascii="仿宋_GB2312" w:hAnsi="宋体" w:eastAsia="仿宋_GB2312" w:cs="仿宋_GB2312"/>
          <w:kern w:val="0"/>
          <w:sz w:val="32"/>
          <w:szCs w:val="32"/>
        </w:rPr>
        <w:t>指事业单位附属独立核算单位按照有关规定上缴的收入。</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40" w:lineRule="exact"/>
        <w:ind w:left="0" w:right="0" w:firstLine="630" w:firstLineChars="196"/>
      </w:pPr>
      <w:r>
        <w:rPr>
          <w:rFonts w:hint="default" w:ascii="仿宋_GB2312" w:hAnsi="宋体" w:eastAsia="仿宋_GB2312" w:cs="仿宋_GB2312"/>
          <w:b/>
          <w:bCs/>
          <w:kern w:val="0"/>
          <w:sz w:val="32"/>
          <w:szCs w:val="32"/>
        </w:rPr>
        <w:t>五、经营收入</w:t>
      </w:r>
      <w:r>
        <w:rPr>
          <w:rFonts w:hint="eastAsia" w:ascii="宋体" w:hAnsi="宋体" w:eastAsia="宋体" w:cs="宋体"/>
          <w:b/>
          <w:bCs/>
          <w:kern w:val="0"/>
          <w:sz w:val="24"/>
          <w:szCs w:val="24"/>
        </w:rPr>
        <w:t>：</w:t>
      </w:r>
      <w:r>
        <w:rPr>
          <w:rFonts w:hint="default" w:ascii="仿宋_GB2312" w:hAnsi="宋体" w:eastAsia="仿宋_GB2312" w:cs="仿宋_GB2312"/>
          <w:kern w:val="0"/>
          <w:sz w:val="32"/>
          <w:szCs w:val="32"/>
        </w:rPr>
        <w:t>指事业单位在专业业务活动及其辅助活动之外开展非独立核算经营活动取得的收入。</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1" w:after="0" w:afterAutospacing="1" w:line="540" w:lineRule="exact"/>
        <w:ind w:left="0" w:right="0" w:firstLine="630" w:firstLineChars="196"/>
      </w:pPr>
      <w:r>
        <w:rPr>
          <w:rFonts w:hint="default" w:ascii="仿宋_GB2312" w:hAnsi="宋体" w:eastAsia="仿宋_GB2312" w:cs="仿宋_GB2312"/>
          <w:b/>
          <w:bCs/>
          <w:kern w:val="0"/>
          <w:sz w:val="32"/>
          <w:szCs w:val="32"/>
        </w:rPr>
        <w:t>六、其他收入：</w:t>
      </w:r>
      <w:r>
        <w:rPr>
          <w:rFonts w:hint="default" w:ascii="仿宋_GB2312" w:hAnsi="宋体" w:eastAsia="仿宋_GB2312" w:cs="仿宋_GB2312"/>
          <w:kern w:val="0"/>
          <w:sz w:val="32"/>
          <w:szCs w:val="32"/>
        </w:rPr>
        <w:t>指除财政拨款收入、事业收入、上级补助收入、附属单位上缴收入、经营收入以外的各项收入。</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40" w:lineRule="exact"/>
        <w:ind w:left="0" w:right="0" w:firstLine="630" w:firstLineChars="196"/>
      </w:pPr>
      <w:r>
        <w:rPr>
          <w:rFonts w:hint="default" w:ascii="仿宋_GB2312" w:hAnsi="宋体" w:eastAsia="仿宋_GB2312" w:cs="仿宋_GB2312"/>
          <w:b/>
          <w:bCs/>
          <w:kern w:val="0"/>
          <w:sz w:val="32"/>
          <w:szCs w:val="32"/>
        </w:rPr>
        <w:t>七、年初结转和结余：</w:t>
      </w:r>
      <w:r>
        <w:rPr>
          <w:rFonts w:hint="default" w:ascii="仿宋_GB2312" w:hAnsi="宋体" w:eastAsia="仿宋_GB2312" w:cs="仿宋_GB2312"/>
          <w:kern w:val="0"/>
          <w:sz w:val="32"/>
          <w:szCs w:val="32"/>
        </w:rPr>
        <w:t>指以前年度安排、结转到本年仍按原规定用途继续使用的资金。</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40" w:lineRule="exact"/>
        <w:ind w:left="0" w:right="0" w:firstLine="630" w:firstLineChars="196"/>
      </w:pPr>
      <w:r>
        <w:rPr>
          <w:rFonts w:hint="default" w:ascii="仿宋_GB2312" w:hAnsi="宋体" w:eastAsia="仿宋_GB2312" w:cs="仿宋_GB2312"/>
          <w:b/>
          <w:bCs/>
          <w:kern w:val="0"/>
          <w:sz w:val="32"/>
          <w:szCs w:val="32"/>
        </w:rPr>
        <w:t>八、结余分配：</w:t>
      </w:r>
      <w:r>
        <w:rPr>
          <w:rFonts w:hint="default" w:ascii="仿宋_GB2312" w:hAnsi="宋体" w:eastAsia="仿宋_GB2312" w:cs="仿宋_GB2312"/>
          <w:kern w:val="0"/>
          <w:sz w:val="32"/>
          <w:szCs w:val="32"/>
        </w:rPr>
        <w:t>指事业单位按照会计制度规定缴纳的所得税以及从非财政拨款结余中提取的职工福利基金、事业基金等。</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40" w:lineRule="exact"/>
        <w:ind w:left="0" w:right="0" w:firstLine="630" w:firstLineChars="196"/>
      </w:pPr>
      <w:r>
        <w:rPr>
          <w:rFonts w:hint="default" w:ascii="仿宋_GB2312" w:hAnsi="宋体" w:eastAsia="仿宋_GB2312" w:cs="仿宋_GB2312"/>
          <w:b/>
          <w:bCs/>
          <w:kern w:val="0"/>
          <w:sz w:val="32"/>
          <w:szCs w:val="32"/>
        </w:rPr>
        <w:t>九、年末结转和结余：</w:t>
      </w:r>
      <w:r>
        <w:rPr>
          <w:rFonts w:hint="default" w:ascii="仿宋_GB2312" w:hAnsi="宋体" w:eastAsia="仿宋_GB2312" w:cs="仿宋_GB2312"/>
          <w:kern w:val="0"/>
          <w:sz w:val="32"/>
          <w:szCs w:val="32"/>
        </w:rPr>
        <w:t>指单位本年度或以前年度预算安排、因客观条件发生变化未全部执行或未执行，结转到以后年度继续使用的资金，或项目已经完成等产生的结余资金。</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40" w:lineRule="exact"/>
        <w:ind w:left="0" w:right="0" w:firstLine="630" w:firstLineChars="196"/>
      </w:pPr>
      <w:r>
        <w:rPr>
          <w:rFonts w:hint="default" w:ascii="仿宋_GB2312" w:hAnsi="宋体" w:eastAsia="仿宋_GB2312" w:cs="仿宋_GB2312"/>
          <w:b/>
          <w:bCs/>
          <w:kern w:val="0"/>
          <w:sz w:val="32"/>
          <w:szCs w:val="32"/>
        </w:rPr>
        <w:t>十、基本支出：</w:t>
      </w:r>
      <w:r>
        <w:rPr>
          <w:rFonts w:hint="default" w:ascii="仿宋_GB2312" w:hAnsi="宋体" w:eastAsia="仿宋_GB2312" w:cs="仿宋_GB2312"/>
          <w:kern w:val="0"/>
          <w:sz w:val="32"/>
          <w:szCs w:val="32"/>
        </w:rPr>
        <w:t>指单位为保障其机构正常运转、完成日常工作任务而发生的人员支出和公用支出。</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right="0" w:firstLine="630" w:firstLineChars="196"/>
        <w:jc w:val="both"/>
      </w:pPr>
      <w:r>
        <w:rPr>
          <w:rFonts w:hint="default" w:ascii="仿宋_GB2312" w:hAnsi="宋体" w:eastAsia="仿宋_GB2312" w:cs="仿宋_GB2312"/>
          <w:b/>
          <w:bCs/>
          <w:kern w:val="0"/>
          <w:sz w:val="32"/>
          <w:szCs w:val="32"/>
        </w:rPr>
        <w:t>十一、项目支出：</w:t>
      </w:r>
      <w:r>
        <w:rPr>
          <w:rFonts w:hint="default" w:ascii="仿宋_GB2312" w:hAnsi="宋体" w:eastAsia="仿宋_GB2312" w:cs="仿宋_GB2312"/>
          <w:kern w:val="0"/>
          <w:sz w:val="32"/>
          <w:szCs w:val="32"/>
        </w:rPr>
        <w:t>指单位为完成特定行政任务和事业发展目标在基本支出之外所发生的支出。</w:t>
      </w:r>
      <w:r>
        <w:rPr>
          <w:rFonts w:hint="default" w:ascii="仿宋_GB2312" w:hAnsi="宋体" w:eastAsia="仿宋_GB2312" w:cs="宋体"/>
          <w:kern w:val="0"/>
          <w:sz w:val="32"/>
          <w:szCs w:val="32"/>
        </w:rPr>
        <w:br w:type="textWrapping"/>
      </w:r>
      <w:r>
        <w:rPr>
          <w:rFonts w:hint="default" w:ascii="仿宋_GB2312" w:hAnsi="宋体" w:eastAsia="仿宋_GB2312" w:cs="宋体"/>
          <w:kern w:val="0"/>
          <w:sz w:val="32"/>
          <w:szCs w:val="32"/>
        </w:rPr>
        <w:t xml:space="preserve">    </w:t>
      </w:r>
      <w:r>
        <w:rPr>
          <w:rFonts w:hint="default" w:ascii="仿宋_GB2312" w:hAnsi="宋体" w:eastAsia="仿宋_GB2312" w:cs="仿宋_GB2312"/>
          <w:b/>
          <w:bCs/>
          <w:kern w:val="0"/>
          <w:sz w:val="32"/>
          <w:szCs w:val="32"/>
        </w:rPr>
        <w:t>十二、经营支出：</w:t>
      </w:r>
      <w:r>
        <w:rPr>
          <w:rFonts w:hint="default" w:ascii="仿宋_GB2312" w:hAnsi="宋体" w:eastAsia="仿宋_GB2312" w:cs="仿宋_GB2312"/>
          <w:kern w:val="0"/>
          <w:sz w:val="32"/>
          <w:szCs w:val="32"/>
        </w:rPr>
        <w:t>指事业单位在专业业务活动及其辅助活动之外开展非独立核算经营活动发生的支出。</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right="0" w:firstLine="630" w:firstLineChars="196"/>
        <w:jc w:val="both"/>
      </w:pPr>
      <w:r>
        <w:rPr>
          <w:rFonts w:hint="default" w:ascii="仿宋_GB2312" w:hAnsi="宋体" w:eastAsia="仿宋_GB2312" w:cs="仿宋_GB2312"/>
          <w:b/>
          <w:bCs/>
          <w:kern w:val="0"/>
          <w:sz w:val="32"/>
          <w:szCs w:val="32"/>
        </w:rPr>
        <w:t>十三、</w:t>
      </w:r>
      <w:r>
        <w:rPr>
          <w:rFonts w:hint="default" w:ascii="仿宋_GB2312" w:hAnsi="宋体" w:eastAsia="仿宋_GB2312" w:cs="宋体"/>
          <w:b/>
          <w:bCs/>
          <w:kern w:val="0"/>
          <w:sz w:val="32"/>
          <w:szCs w:val="32"/>
        </w:rPr>
        <w:t>“三公”经费：</w:t>
      </w:r>
      <w:r>
        <w:rPr>
          <w:rFonts w:hint="default" w:ascii="仿宋_GB2312" w:hAnsi="宋体" w:eastAsia="仿宋_GB2312" w:cs="仿宋_GB2312"/>
          <w:kern w:val="0"/>
          <w:sz w:val="32"/>
          <w:szCs w:val="32"/>
        </w:rPr>
        <w:t>纳入财政预决算管理的</w:t>
      </w:r>
      <w:r>
        <w:rPr>
          <w:rFonts w:hint="default" w:ascii="仿宋_GB2312" w:hAnsi="宋体" w:eastAsia="仿宋_GB2312" w:cs="宋体"/>
          <w:kern w:val="0"/>
          <w:sz w:val="32"/>
          <w:szCs w:val="32"/>
        </w:rPr>
        <w:t>“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hint="default" w:ascii="仿宋_GB2312" w:hAnsi="宋体" w:eastAsia="仿宋_GB2312" w:cs="仿宋_GB2312"/>
          <w:kern w:val="0"/>
          <w:sz w:val="32"/>
          <w:szCs w:val="32"/>
        </w:rPr>
        <w:t>）支出。</w:t>
      </w:r>
    </w:p>
    <w:p>
      <w:pPr>
        <w:pStyle w:val="2"/>
        <w:keepNext w:val="0"/>
        <w:keepLines w:val="0"/>
        <w:pageBreakBefore w:val="0"/>
        <w:widowControl/>
        <w:suppressLineNumbers w:val="0"/>
        <w:kinsoku/>
        <w:overflowPunct/>
        <w:topLinePunct w:val="0"/>
        <w:autoSpaceDE/>
        <w:autoSpaceDN/>
        <w:bidi w:val="0"/>
        <w:spacing w:before="0" w:beforeAutospacing="0" w:after="0" w:afterAutospacing="0" w:line="540" w:lineRule="exact"/>
        <w:ind w:left="0" w:right="0" w:firstLine="630" w:firstLineChars="196"/>
        <w:jc w:val="both"/>
      </w:pPr>
      <w:r>
        <w:rPr>
          <w:rFonts w:hint="default" w:ascii="仿宋_GB2312" w:hAnsi="宋体" w:eastAsia="仿宋_GB2312" w:cs="仿宋_GB2312"/>
          <w:b/>
          <w:bCs/>
          <w:kern w:val="0"/>
          <w:sz w:val="32"/>
          <w:szCs w:val="32"/>
        </w:rPr>
        <w:t>十四、机关运行经费</w:t>
      </w:r>
      <w:r>
        <w:rPr>
          <w:rFonts w:hint="default" w:ascii="仿宋_GB2312" w:hAnsi="宋体" w:eastAsia="仿宋_GB2312" w:cs="仿宋_GB2312"/>
          <w:kern w:val="0"/>
          <w:sz w:val="32"/>
          <w:szCs w:val="32"/>
        </w:rPr>
        <w:t>：指为保障行政单位（含参照公务员法管理的事业单位）运行用于购买货物和服务的各项资金</w:t>
      </w:r>
      <w:r>
        <w:rPr>
          <w:rFonts w:hint="default" w:ascii="仿宋_GB2312" w:hAnsi="Times New Roman" w:eastAsia="仿宋_GB2312" w:cs="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keepNext w:val="0"/>
        <w:keepLines w:val="0"/>
        <w:pageBreakBefore w:val="0"/>
        <w:kinsoku/>
        <w:overflowPunct/>
        <w:topLinePunct w:val="0"/>
        <w:autoSpaceDE/>
        <w:autoSpaceDN/>
        <w:bidi w:val="0"/>
        <w:spacing w:line="5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C5757"/>
    <w:rsid w:val="277C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2021-07-01T08:27:00Z</dcterms:created>
  <dc:creator>Taidy杨</dc:creator>
  <cp:lastModifiedBy>Taidy杨</cp:lastModifiedBy>
  <dcterms:modified xsi:type="dcterms:W3CDTF">2021-07-01T08:36:18Z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B3D73A0F08B04AAC8091C3FFE6202104</vt:lpwstr>
  </property>
</Properties>
</file>