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rPr>
          <w:rFonts w:hint="eastAsia" w:ascii="华文中宋" w:hAnsi="华文中宋" w:eastAsia="华文中宋" w:cs="华文中宋"/>
          <w:b/>
          <w:sz w:val="52"/>
          <w:szCs w:val="84"/>
        </w:rPr>
      </w:pPr>
    </w:p>
    <w:p>
      <w:pPr>
        <w:adjustRightInd w:val="0"/>
        <w:snapToGrid w:val="0"/>
        <w:spacing w:line="360" w:lineRule="auto"/>
        <w:jc w:val="center"/>
        <w:rPr>
          <w:rFonts w:hint="eastAsia" w:ascii="方正小标宋_GBK" w:hAnsi="华文中宋" w:eastAsia="方正小标宋_GBK" w:cs="华文中宋"/>
          <w:b/>
          <w:sz w:val="48"/>
          <w:szCs w:val="48"/>
        </w:rPr>
      </w:pPr>
      <w:r>
        <w:rPr>
          <w:rFonts w:hint="eastAsia" w:ascii="方正小标宋_GBK" w:hAnsi="华文中宋" w:eastAsia="方正小标宋_GBK" w:cs="华文中宋"/>
          <w:b/>
          <w:sz w:val="48"/>
          <w:szCs w:val="48"/>
        </w:rPr>
        <w:t>宿马现代产业园区管理委员会       201</w:t>
      </w:r>
      <w:r>
        <w:rPr>
          <w:rFonts w:hint="eastAsia" w:ascii="方正小标宋_GBK" w:hAnsi="华文中宋" w:eastAsia="方正小标宋_GBK" w:cs="华文中宋"/>
          <w:b/>
          <w:sz w:val="48"/>
          <w:szCs w:val="48"/>
          <w:lang w:val="en-US" w:eastAsia="zh-CN"/>
        </w:rPr>
        <w:t>9</w:t>
      </w:r>
      <w:r>
        <w:rPr>
          <w:rFonts w:hint="eastAsia" w:ascii="方正小标宋_GBK" w:hAnsi="华文中宋" w:eastAsia="方正小标宋_GBK" w:cs="华文中宋"/>
          <w:b/>
          <w:sz w:val="48"/>
          <w:szCs w:val="48"/>
        </w:rPr>
        <w:t>年度部门</w:t>
      </w:r>
      <w:r>
        <w:rPr>
          <w:rFonts w:hint="eastAsia" w:ascii="方正小标宋_GBK" w:hAnsi="华文中宋" w:eastAsia="方正小标宋_GBK" w:cs="华文中宋"/>
          <w:b/>
          <w:sz w:val="48"/>
          <w:szCs w:val="48"/>
          <w:lang w:eastAsia="zh-CN"/>
        </w:rPr>
        <w:t>预</w:t>
      </w:r>
      <w:r>
        <w:rPr>
          <w:rFonts w:hint="eastAsia" w:ascii="方正小标宋_GBK" w:hAnsi="华文中宋" w:eastAsia="方正小标宋_GBK" w:cs="华文中宋"/>
          <w:b/>
          <w:sz w:val="48"/>
          <w:szCs w:val="48"/>
        </w:rPr>
        <w:t>算</w:t>
      </w: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rPr>
          <w:rFonts w:hint="eastAsia" w:ascii="宋体" w:hAnsi="宋体"/>
          <w:sz w:val="28"/>
          <w:szCs w:val="28"/>
        </w:rPr>
      </w:pPr>
    </w:p>
    <w:p>
      <w:pPr>
        <w:pStyle w:val="4"/>
        <w:adjustRightInd w:val="0"/>
        <w:snapToGrid w:val="0"/>
        <w:spacing w:before="0" w:beforeAutospacing="0" w:after="0" w:afterAutospacing="0" w:line="360" w:lineRule="auto"/>
        <w:jc w:val="both"/>
        <w:rPr>
          <w:rFonts w:hint="eastAsia" w:ascii="仿宋_GB2312" w:hAnsi="仿宋_GB2312" w:eastAsia="仿宋_GB2312" w:cs="仿宋_GB2312"/>
          <w:b/>
          <w:sz w:val="44"/>
          <w:szCs w:val="44"/>
        </w:rPr>
      </w:pPr>
    </w:p>
    <w:p>
      <w:pPr>
        <w:pStyle w:val="4"/>
        <w:adjustRightInd w:val="0"/>
        <w:snapToGrid w:val="0"/>
        <w:spacing w:before="0" w:beforeAutospacing="0" w:after="0" w:afterAutospacing="0" w:line="360" w:lineRule="auto"/>
        <w:jc w:val="both"/>
        <w:rPr>
          <w:rFonts w:hint="eastAsia" w:ascii="仿宋_GB2312" w:hAnsi="仿宋_GB2312" w:eastAsia="仿宋_GB2312" w:cs="仿宋_GB2312"/>
          <w:b/>
          <w:sz w:val="44"/>
          <w:szCs w:val="44"/>
        </w:rPr>
      </w:pPr>
    </w:p>
    <w:p>
      <w:pPr>
        <w:pStyle w:val="4"/>
        <w:adjustRightInd w:val="0"/>
        <w:snapToGrid w:val="0"/>
        <w:spacing w:before="0" w:beforeAutospacing="0" w:after="0" w:afterAutospacing="0" w:line="360" w:lineRule="auto"/>
        <w:ind w:firstLine="3092" w:firstLineChars="700"/>
        <w:jc w:val="both"/>
        <w:rPr>
          <w:rFonts w:hint="eastAsia" w:ascii="仿宋_GB2312" w:hAnsi="仿宋_GB2312" w:eastAsia="仿宋_GB2312" w:cs="仿宋_GB2312"/>
          <w:b/>
          <w:color w:val="auto"/>
          <w:sz w:val="44"/>
          <w:szCs w:val="44"/>
        </w:rPr>
      </w:pPr>
      <w:r>
        <w:rPr>
          <w:rFonts w:hint="eastAsia" w:ascii="仿宋_GB2312" w:hAnsi="仿宋_GB2312" w:eastAsia="仿宋_GB2312" w:cs="仿宋_GB2312"/>
          <w:b/>
          <w:color w:val="auto"/>
          <w:sz w:val="44"/>
          <w:szCs w:val="44"/>
        </w:rPr>
        <w:t>20</w:t>
      </w:r>
      <w:r>
        <w:rPr>
          <w:rFonts w:hint="eastAsia" w:ascii="仿宋_GB2312" w:hAnsi="仿宋_GB2312" w:eastAsia="仿宋_GB2312" w:cs="仿宋_GB2312"/>
          <w:b/>
          <w:color w:val="auto"/>
          <w:sz w:val="44"/>
          <w:szCs w:val="44"/>
          <w:lang w:val="en-US" w:eastAsia="zh-CN"/>
        </w:rPr>
        <w:t>19</w:t>
      </w:r>
      <w:r>
        <w:rPr>
          <w:rFonts w:hint="eastAsia" w:ascii="仿宋_GB2312" w:hAnsi="仿宋_GB2312" w:eastAsia="仿宋_GB2312" w:cs="仿宋_GB2312"/>
          <w:b/>
          <w:color w:val="auto"/>
          <w:sz w:val="44"/>
          <w:szCs w:val="44"/>
        </w:rPr>
        <w:t>年</w:t>
      </w:r>
      <w:r>
        <w:rPr>
          <w:rFonts w:hint="eastAsia" w:ascii="仿宋_GB2312" w:hAnsi="仿宋_GB2312" w:eastAsia="仿宋_GB2312" w:cs="仿宋_GB2312"/>
          <w:b/>
          <w:color w:val="auto"/>
          <w:sz w:val="44"/>
          <w:szCs w:val="44"/>
          <w:lang w:val="en-US" w:eastAsia="zh-CN"/>
        </w:rPr>
        <w:t>2</w:t>
      </w:r>
      <w:r>
        <w:rPr>
          <w:rFonts w:hint="eastAsia" w:ascii="仿宋_GB2312" w:hAnsi="仿宋_GB2312" w:eastAsia="仿宋_GB2312" w:cs="仿宋_GB2312"/>
          <w:b/>
          <w:color w:val="auto"/>
          <w:sz w:val="44"/>
          <w:szCs w:val="44"/>
        </w:rPr>
        <w:t>月</w:t>
      </w:r>
    </w:p>
    <w:p>
      <w:pPr>
        <w:spacing w:line="580" w:lineRule="exact"/>
        <w:jc w:val="center"/>
        <w:rPr>
          <w:rFonts w:hint="eastAsia" w:ascii="宋体" w:hAnsi="宋体" w:eastAsia="宋体" w:cs="宋体"/>
          <w:b/>
          <w:sz w:val="48"/>
          <w:szCs w:val="48"/>
        </w:rPr>
      </w:pPr>
    </w:p>
    <w:p>
      <w:pPr>
        <w:spacing w:line="580" w:lineRule="exact"/>
        <w:jc w:val="center"/>
        <w:rPr>
          <w:rFonts w:hint="eastAsia" w:ascii="宋体" w:hAnsi="宋体" w:eastAsia="宋体" w:cs="宋体"/>
          <w:b/>
          <w:sz w:val="48"/>
          <w:szCs w:val="48"/>
        </w:rPr>
      </w:pPr>
    </w:p>
    <w:p>
      <w:pPr>
        <w:spacing w:line="580" w:lineRule="exact"/>
        <w:jc w:val="center"/>
        <w:rPr>
          <w:rFonts w:hint="eastAsia" w:ascii="宋体" w:hAnsi="宋体"/>
          <w:b/>
          <w:sz w:val="48"/>
          <w:szCs w:val="48"/>
        </w:rPr>
      </w:pPr>
      <w:r>
        <w:rPr>
          <w:rFonts w:hint="eastAsia" w:ascii="宋体" w:hAnsi="宋体" w:eastAsia="宋体" w:cs="宋体"/>
          <w:b/>
          <w:sz w:val="48"/>
          <w:szCs w:val="48"/>
        </w:rPr>
        <w:t>目  录</w:t>
      </w:r>
    </w:p>
    <w:p>
      <w:pPr>
        <w:spacing w:line="550" w:lineRule="exact"/>
        <w:rPr>
          <w:rFonts w:hint="eastAsia" w:ascii="宋体" w:hAnsi="宋体" w:eastAsia="宋体" w:cs="宋体"/>
          <w:b/>
          <w:szCs w:val="32"/>
        </w:rPr>
      </w:pPr>
      <w:r>
        <w:rPr>
          <w:rFonts w:hint="eastAsia" w:ascii="宋体" w:hAnsi="宋体" w:eastAsia="宋体" w:cs="宋体"/>
          <w:b/>
          <w:szCs w:val="32"/>
        </w:rPr>
        <w:t>第一部分 宿马现代产业园区管理委员会概况</w:t>
      </w:r>
    </w:p>
    <w:p>
      <w:pPr>
        <w:spacing w:line="550" w:lineRule="exact"/>
        <w:rPr>
          <w:rFonts w:hint="eastAsia" w:ascii="宋体" w:hAnsi="宋体"/>
          <w:bCs/>
          <w:szCs w:val="32"/>
        </w:rPr>
      </w:pPr>
      <w:r>
        <w:rPr>
          <w:rFonts w:hint="eastAsia" w:ascii="宋体" w:hAnsi="宋体"/>
          <w:bCs/>
          <w:szCs w:val="32"/>
        </w:rPr>
        <w:t>一、部门职责</w:t>
      </w:r>
    </w:p>
    <w:p>
      <w:pPr>
        <w:spacing w:line="550" w:lineRule="exact"/>
        <w:rPr>
          <w:rFonts w:hint="eastAsia" w:ascii="宋体" w:hAnsi="宋体"/>
          <w:bCs/>
          <w:szCs w:val="32"/>
        </w:rPr>
      </w:pPr>
      <w:r>
        <w:rPr>
          <w:rFonts w:hint="eastAsia" w:ascii="宋体" w:hAnsi="宋体"/>
          <w:bCs/>
          <w:szCs w:val="32"/>
        </w:rPr>
        <w:t>二、机构设置</w:t>
      </w:r>
    </w:p>
    <w:p>
      <w:pPr>
        <w:spacing w:line="550" w:lineRule="exact"/>
        <w:rPr>
          <w:rFonts w:hint="eastAsia" w:ascii="宋体" w:hAnsi="宋体" w:eastAsia="宋体" w:cs="宋体"/>
          <w:b/>
          <w:szCs w:val="32"/>
        </w:rPr>
      </w:pPr>
      <w:r>
        <w:rPr>
          <w:rFonts w:hint="eastAsia" w:ascii="宋体" w:hAnsi="宋体" w:eastAsia="宋体" w:cs="宋体"/>
          <w:b/>
          <w:szCs w:val="32"/>
        </w:rPr>
        <w:t>第二部分 宿马现代产业园区管理委员会201</w:t>
      </w:r>
      <w:r>
        <w:rPr>
          <w:rFonts w:hint="eastAsia" w:ascii="宋体" w:hAnsi="宋体" w:eastAsia="宋体" w:cs="宋体"/>
          <w:b/>
          <w:szCs w:val="32"/>
          <w:lang w:val="en-US" w:eastAsia="zh-CN"/>
        </w:rPr>
        <w:t>9</w:t>
      </w:r>
      <w:r>
        <w:rPr>
          <w:rFonts w:hint="eastAsia" w:ascii="宋体" w:hAnsi="宋体" w:eastAsia="宋体" w:cs="宋体"/>
          <w:b/>
          <w:szCs w:val="32"/>
        </w:rPr>
        <w:t>年度部门</w:t>
      </w:r>
      <w:r>
        <w:rPr>
          <w:rFonts w:hint="eastAsia" w:ascii="宋体" w:hAnsi="宋体" w:eastAsia="宋体" w:cs="宋体"/>
          <w:b/>
          <w:szCs w:val="32"/>
          <w:lang w:eastAsia="zh-CN"/>
        </w:rPr>
        <w:t>预</w:t>
      </w:r>
      <w:r>
        <w:rPr>
          <w:rFonts w:hint="eastAsia" w:ascii="宋体" w:hAnsi="宋体" w:eastAsia="宋体" w:cs="宋体"/>
          <w:b/>
          <w:szCs w:val="32"/>
        </w:rPr>
        <w:t>算</w:t>
      </w:r>
    </w:p>
    <w:p>
      <w:pPr>
        <w:spacing w:line="550" w:lineRule="exact"/>
        <w:rPr>
          <w:rFonts w:hint="eastAsia" w:ascii="宋体" w:hAnsi="宋体"/>
          <w:bCs/>
          <w:szCs w:val="32"/>
        </w:rPr>
      </w:pPr>
      <w:r>
        <w:rPr>
          <w:rFonts w:hint="eastAsia" w:ascii="宋体" w:hAnsi="宋体"/>
          <w:bCs/>
          <w:szCs w:val="32"/>
        </w:rPr>
        <w:t>一、收入支出</w:t>
      </w:r>
      <w:r>
        <w:rPr>
          <w:rFonts w:hint="eastAsia" w:ascii="宋体" w:hAnsi="宋体"/>
          <w:bCs/>
          <w:szCs w:val="32"/>
          <w:lang w:eastAsia="zh-CN"/>
        </w:rPr>
        <w:t>预</w:t>
      </w:r>
      <w:r>
        <w:rPr>
          <w:rFonts w:hint="eastAsia" w:ascii="宋体" w:hAnsi="宋体"/>
          <w:bCs/>
          <w:szCs w:val="32"/>
        </w:rPr>
        <w:t>算总表</w:t>
      </w:r>
    </w:p>
    <w:p>
      <w:pPr>
        <w:spacing w:line="550" w:lineRule="exact"/>
        <w:rPr>
          <w:rFonts w:hint="eastAsia" w:ascii="宋体" w:hAnsi="宋体"/>
          <w:bCs/>
          <w:szCs w:val="32"/>
        </w:rPr>
      </w:pPr>
      <w:r>
        <w:rPr>
          <w:rFonts w:hint="eastAsia" w:ascii="宋体" w:hAnsi="宋体"/>
          <w:bCs/>
          <w:szCs w:val="32"/>
        </w:rPr>
        <w:t>二、收入</w:t>
      </w:r>
      <w:r>
        <w:rPr>
          <w:rFonts w:hint="eastAsia" w:ascii="宋体" w:hAnsi="宋体"/>
          <w:bCs/>
          <w:szCs w:val="32"/>
          <w:lang w:eastAsia="zh-CN"/>
        </w:rPr>
        <w:t>预</w:t>
      </w:r>
      <w:r>
        <w:rPr>
          <w:rFonts w:hint="eastAsia" w:ascii="宋体" w:hAnsi="宋体"/>
          <w:bCs/>
          <w:szCs w:val="32"/>
        </w:rPr>
        <w:t>算表</w:t>
      </w:r>
    </w:p>
    <w:p>
      <w:pPr>
        <w:spacing w:line="550" w:lineRule="exact"/>
        <w:rPr>
          <w:rFonts w:hint="eastAsia" w:ascii="宋体" w:hAnsi="宋体"/>
          <w:bCs/>
          <w:szCs w:val="32"/>
        </w:rPr>
      </w:pPr>
      <w:r>
        <w:rPr>
          <w:rFonts w:hint="eastAsia" w:ascii="宋体" w:hAnsi="宋体"/>
          <w:bCs/>
          <w:szCs w:val="32"/>
        </w:rPr>
        <w:t>三、支出</w:t>
      </w:r>
      <w:r>
        <w:rPr>
          <w:rFonts w:hint="eastAsia" w:ascii="宋体" w:hAnsi="宋体"/>
          <w:bCs/>
          <w:szCs w:val="32"/>
          <w:lang w:eastAsia="zh-CN"/>
        </w:rPr>
        <w:t>预</w:t>
      </w:r>
      <w:r>
        <w:rPr>
          <w:rFonts w:hint="eastAsia" w:ascii="宋体" w:hAnsi="宋体"/>
          <w:bCs/>
          <w:szCs w:val="32"/>
        </w:rPr>
        <w:t>算表</w:t>
      </w:r>
    </w:p>
    <w:p>
      <w:pPr>
        <w:spacing w:line="550" w:lineRule="exact"/>
        <w:rPr>
          <w:rFonts w:hint="eastAsia" w:ascii="宋体" w:hAnsi="宋体"/>
          <w:bCs/>
          <w:szCs w:val="32"/>
        </w:rPr>
      </w:pPr>
      <w:r>
        <w:rPr>
          <w:rFonts w:hint="eastAsia" w:ascii="宋体" w:hAnsi="宋体"/>
          <w:bCs/>
          <w:szCs w:val="32"/>
        </w:rPr>
        <w:t>四、财政拨款收入支出</w:t>
      </w:r>
      <w:r>
        <w:rPr>
          <w:rFonts w:hint="eastAsia" w:ascii="宋体" w:hAnsi="宋体"/>
          <w:bCs/>
          <w:szCs w:val="32"/>
          <w:lang w:eastAsia="zh-CN"/>
        </w:rPr>
        <w:t>预</w:t>
      </w:r>
      <w:r>
        <w:rPr>
          <w:rFonts w:hint="eastAsia" w:ascii="宋体" w:hAnsi="宋体"/>
          <w:bCs/>
          <w:szCs w:val="32"/>
        </w:rPr>
        <w:t>算总表</w:t>
      </w:r>
    </w:p>
    <w:p>
      <w:pPr>
        <w:spacing w:line="550" w:lineRule="exact"/>
        <w:rPr>
          <w:rFonts w:hint="eastAsia" w:ascii="宋体" w:hAnsi="宋体"/>
          <w:bCs/>
          <w:szCs w:val="32"/>
        </w:rPr>
      </w:pPr>
      <w:r>
        <w:rPr>
          <w:rFonts w:hint="eastAsia" w:ascii="宋体" w:hAnsi="宋体"/>
          <w:bCs/>
          <w:szCs w:val="32"/>
        </w:rPr>
        <w:t>五、一般公共预算财政拨款支出</w:t>
      </w:r>
      <w:r>
        <w:rPr>
          <w:rFonts w:hint="eastAsia" w:ascii="宋体" w:hAnsi="宋体"/>
          <w:bCs/>
          <w:szCs w:val="32"/>
          <w:lang w:eastAsia="zh-CN"/>
        </w:rPr>
        <w:t>预</w:t>
      </w:r>
      <w:r>
        <w:rPr>
          <w:rFonts w:hint="eastAsia" w:ascii="宋体" w:hAnsi="宋体"/>
          <w:bCs/>
          <w:szCs w:val="32"/>
        </w:rPr>
        <w:t>算表</w:t>
      </w:r>
    </w:p>
    <w:p>
      <w:pPr>
        <w:spacing w:line="550" w:lineRule="exact"/>
        <w:rPr>
          <w:rFonts w:hint="eastAsia" w:ascii="宋体" w:hAnsi="宋体"/>
          <w:bCs/>
          <w:szCs w:val="32"/>
        </w:rPr>
      </w:pPr>
      <w:r>
        <w:rPr>
          <w:rFonts w:hint="eastAsia" w:ascii="宋体" w:hAnsi="宋体"/>
          <w:bCs/>
          <w:szCs w:val="32"/>
        </w:rPr>
        <w:t>六、一般公共预算财政拨款基本支出</w:t>
      </w:r>
      <w:r>
        <w:rPr>
          <w:rFonts w:hint="eastAsia" w:ascii="宋体" w:hAnsi="宋体"/>
          <w:bCs/>
          <w:szCs w:val="32"/>
          <w:lang w:eastAsia="zh-CN"/>
        </w:rPr>
        <w:t>预</w:t>
      </w:r>
      <w:r>
        <w:rPr>
          <w:rFonts w:hint="eastAsia" w:ascii="宋体" w:hAnsi="宋体"/>
          <w:bCs/>
          <w:szCs w:val="32"/>
        </w:rPr>
        <w:t>算表</w:t>
      </w:r>
    </w:p>
    <w:p>
      <w:pPr>
        <w:spacing w:line="550" w:lineRule="exact"/>
        <w:rPr>
          <w:rFonts w:hint="eastAsia" w:ascii="宋体" w:hAnsi="宋体"/>
          <w:bCs/>
          <w:szCs w:val="32"/>
        </w:rPr>
      </w:pPr>
      <w:r>
        <w:rPr>
          <w:rFonts w:hint="eastAsia" w:ascii="宋体" w:hAnsi="宋体"/>
          <w:bCs/>
          <w:szCs w:val="32"/>
        </w:rPr>
        <w:t>七、政府性基金预算支出表</w:t>
      </w:r>
    </w:p>
    <w:p>
      <w:pPr>
        <w:spacing w:line="550" w:lineRule="exact"/>
        <w:rPr>
          <w:rFonts w:hint="eastAsia" w:ascii="宋体" w:hAnsi="宋体" w:eastAsia="宋体" w:cs="宋体"/>
          <w:b/>
          <w:szCs w:val="32"/>
        </w:rPr>
      </w:pPr>
      <w:r>
        <w:rPr>
          <w:rFonts w:hint="eastAsia" w:ascii="宋体" w:hAnsi="宋体" w:eastAsia="宋体" w:cs="宋体"/>
          <w:b/>
          <w:szCs w:val="32"/>
        </w:rPr>
        <w:t>第三部分 宿马现代产业园区管理委员会201</w:t>
      </w:r>
      <w:r>
        <w:rPr>
          <w:rFonts w:hint="eastAsia" w:ascii="宋体" w:hAnsi="宋体" w:eastAsia="宋体" w:cs="宋体"/>
          <w:b/>
          <w:szCs w:val="32"/>
          <w:lang w:val="en-US" w:eastAsia="zh-CN"/>
        </w:rPr>
        <w:t>9</w:t>
      </w:r>
      <w:r>
        <w:rPr>
          <w:rFonts w:hint="eastAsia" w:ascii="宋体" w:hAnsi="宋体" w:eastAsia="宋体" w:cs="宋体"/>
          <w:b/>
          <w:szCs w:val="32"/>
        </w:rPr>
        <w:t>年度部门</w:t>
      </w:r>
      <w:r>
        <w:rPr>
          <w:rFonts w:hint="eastAsia" w:ascii="宋体" w:hAnsi="宋体" w:eastAsia="宋体" w:cs="宋体"/>
          <w:b/>
          <w:szCs w:val="32"/>
          <w:lang w:eastAsia="zh-CN"/>
        </w:rPr>
        <w:t>预</w:t>
      </w:r>
      <w:r>
        <w:rPr>
          <w:rFonts w:hint="eastAsia" w:ascii="宋体" w:hAnsi="宋体" w:eastAsia="宋体" w:cs="宋体"/>
          <w:b/>
          <w:szCs w:val="32"/>
        </w:rPr>
        <w:t>算情况说明</w:t>
      </w:r>
    </w:p>
    <w:p>
      <w:pPr>
        <w:spacing w:line="550" w:lineRule="exact"/>
        <w:rPr>
          <w:rFonts w:hint="eastAsia" w:ascii="宋体" w:hAnsi="宋体"/>
          <w:bCs/>
          <w:szCs w:val="32"/>
        </w:rPr>
      </w:pPr>
      <w:r>
        <w:rPr>
          <w:rFonts w:hint="eastAsia" w:ascii="宋体" w:hAnsi="宋体"/>
          <w:bCs/>
          <w:szCs w:val="32"/>
        </w:rPr>
        <w:t>一、收入支出</w:t>
      </w:r>
      <w:r>
        <w:rPr>
          <w:rFonts w:hint="eastAsia" w:ascii="宋体" w:hAnsi="宋体"/>
          <w:bCs/>
          <w:szCs w:val="32"/>
          <w:lang w:eastAsia="zh-CN"/>
        </w:rPr>
        <w:t>预</w:t>
      </w:r>
      <w:r>
        <w:rPr>
          <w:rFonts w:hint="eastAsia" w:ascii="宋体" w:hAnsi="宋体"/>
          <w:bCs/>
          <w:szCs w:val="32"/>
        </w:rPr>
        <w:t>算总体情况</w:t>
      </w:r>
    </w:p>
    <w:p>
      <w:pPr>
        <w:spacing w:line="550" w:lineRule="exact"/>
        <w:rPr>
          <w:rFonts w:hint="eastAsia" w:ascii="宋体" w:hAnsi="宋体"/>
          <w:bCs/>
          <w:szCs w:val="32"/>
        </w:rPr>
      </w:pPr>
      <w:r>
        <w:rPr>
          <w:rFonts w:hint="eastAsia" w:ascii="宋体" w:hAnsi="宋体"/>
          <w:bCs/>
          <w:szCs w:val="32"/>
        </w:rPr>
        <w:t>二、收入</w:t>
      </w:r>
      <w:r>
        <w:rPr>
          <w:rFonts w:hint="eastAsia" w:ascii="宋体" w:hAnsi="宋体"/>
          <w:bCs/>
          <w:szCs w:val="32"/>
          <w:lang w:eastAsia="zh-CN"/>
        </w:rPr>
        <w:t>预</w:t>
      </w:r>
      <w:r>
        <w:rPr>
          <w:rFonts w:hint="eastAsia" w:ascii="宋体" w:hAnsi="宋体"/>
          <w:bCs/>
          <w:szCs w:val="32"/>
        </w:rPr>
        <w:t>算情况说明</w:t>
      </w:r>
    </w:p>
    <w:p>
      <w:pPr>
        <w:spacing w:line="550" w:lineRule="exact"/>
        <w:rPr>
          <w:rFonts w:hint="eastAsia" w:ascii="宋体" w:hAnsi="宋体"/>
          <w:bCs/>
          <w:szCs w:val="32"/>
        </w:rPr>
      </w:pPr>
      <w:r>
        <w:rPr>
          <w:rFonts w:hint="eastAsia" w:ascii="宋体" w:hAnsi="宋体"/>
          <w:bCs/>
          <w:szCs w:val="32"/>
        </w:rPr>
        <w:t>三、支出</w:t>
      </w:r>
      <w:r>
        <w:rPr>
          <w:rFonts w:hint="eastAsia" w:ascii="宋体" w:hAnsi="宋体"/>
          <w:bCs/>
          <w:szCs w:val="32"/>
          <w:lang w:eastAsia="zh-CN"/>
        </w:rPr>
        <w:t>预</w:t>
      </w:r>
      <w:r>
        <w:rPr>
          <w:rFonts w:hint="eastAsia" w:ascii="宋体" w:hAnsi="宋体"/>
          <w:bCs/>
          <w:szCs w:val="32"/>
        </w:rPr>
        <w:t>算情况说明</w:t>
      </w:r>
    </w:p>
    <w:p>
      <w:pPr>
        <w:spacing w:line="550" w:lineRule="exact"/>
        <w:rPr>
          <w:rFonts w:hint="eastAsia" w:ascii="宋体" w:hAnsi="宋体"/>
          <w:bCs/>
          <w:szCs w:val="32"/>
        </w:rPr>
      </w:pPr>
      <w:r>
        <w:rPr>
          <w:rFonts w:hint="eastAsia" w:ascii="宋体" w:hAnsi="宋体"/>
          <w:bCs/>
          <w:szCs w:val="32"/>
        </w:rPr>
        <w:t>四、财政拨款收入支出</w:t>
      </w:r>
      <w:r>
        <w:rPr>
          <w:rFonts w:hint="eastAsia" w:ascii="宋体" w:hAnsi="宋体"/>
          <w:bCs/>
          <w:szCs w:val="32"/>
          <w:lang w:eastAsia="zh-CN"/>
        </w:rPr>
        <w:t>预</w:t>
      </w:r>
      <w:r>
        <w:rPr>
          <w:rFonts w:hint="eastAsia" w:ascii="宋体" w:hAnsi="宋体"/>
          <w:bCs/>
          <w:szCs w:val="32"/>
        </w:rPr>
        <w:t>算总体情况说明</w:t>
      </w:r>
    </w:p>
    <w:p>
      <w:pPr>
        <w:spacing w:line="550" w:lineRule="exact"/>
        <w:rPr>
          <w:rFonts w:hint="eastAsia" w:ascii="宋体" w:hAnsi="宋体"/>
          <w:bCs/>
          <w:szCs w:val="32"/>
        </w:rPr>
      </w:pPr>
      <w:r>
        <w:rPr>
          <w:rFonts w:hint="eastAsia" w:ascii="宋体" w:hAnsi="宋体"/>
          <w:bCs/>
          <w:szCs w:val="32"/>
        </w:rPr>
        <w:t>五、一般公共预算财政拨款收入支出</w:t>
      </w:r>
      <w:r>
        <w:rPr>
          <w:rFonts w:hint="eastAsia" w:ascii="宋体" w:hAnsi="宋体"/>
          <w:bCs/>
          <w:szCs w:val="32"/>
          <w:lang w:eastAsia="zh-CN"/>
        </w:rPr>
        <w:t>预</w:t>
      </w:r>
      <w:r>
        <w:rPr>
          <w:rFonts w:hint="eastAsia" w:ascii="宋体" w:hAnsi="宋体"/>
          <w:bCs/>
          <w:szCs w:val="32"/>
        </w:rPr>
        <w:t>算情况说明</w:t>
      </w:r>
    </w:p>
    <w:p>
      <w:pPr>
        <w:spacing w:line="550" w:lineRule="exact"/>
        <w:rPr>
          <w:rFonts w:hint="eastAsia" w:ascii="宋体" w:hAnsi="宋体"/>
          <w:bCs/>
          <w:szCs w:val="32"/>
        </w:rPr>
      </w:pPr>
      <w:r>
        <w:rPr>
          <w:rFonts w:hint="eastAsia" w:ascii="宋体" w:hAnsi="宋体"/>
          <w:bCs/>
          <w:szCs w:val="32"/>
        </w:rPr>
        <w:t>六、一般公共预算财政拨款基本支出</w:t>
      </w:r>
      <w:r>
        <w:rPr>
          <w:rFonts w:hint="eastAsia" w:ascii="宋体" w:hAnsi="宋体"/>
          <w:bCs/>
          <w:szCs w:val="32"/>
          <w:lang w:eastAsia="zh-CN"/>
        </w:rPr>
        <w:t>预</w:t>
      </w:r>
      <w:r>
        <w:rPr>
          <w:rFonts w:hint="eastAsia" w:ascii="宋体" w:hAnsi="宋体"/>
          <w:bCs/>
          <w:szCs w:val="32"/>
        </w:rPr>
        <w:t>算情况说明</w:t>
      </w:r>
    </w:p>
    <w:p>
      <w:pPr>
        <w:spacing w:line="550" w:lineRule="exact"/>
        <w:rPr>
          <w:rFonts w:hint="eastAsia" w:ascii="宋体" w:hAnsi="宋体"/>
          <w:bCs/>
          <w:szCs w:val="32"/>
        </w:rPr>
      </w:pPr>
      <w:r>
        <w:rPr>
          <w:rFonts w:hint="eastAsia" w:ascii="宋体" w:hAnsi="宋体"/>
          <w:bCs/>
          <w:szCs w:val="32"/>
        </w:rPr>
        <w:t>七、政府性基金财政拨款收入支出</w:t>
      </w:r>
      <w:r>
        <w:rPr>
          <w:rFonts w:hint="eastAsia" w:ascii="宋体" w:hAnsi="宋体"/>
          <w:bCs/>
          <w:szCs w:val="32"/>
          <w:lang w:eastAsia="zh-CN"/>
        </w:rPr>
        <w:t>预</w:t>
      </w:r>
      <w:r>
        <w:rPr>
          <w:rFonts w:hint="eastAsia" w:ascii="宋体" w:hAnsi="宋体"/>
          <w:bCs/>
          <w:szCs w:val="32"/>
        </w:rPr>
        <w:t>算情况说明</w:t>
      </w:r>
    </w:p>
    <w:p>
      <w:pPr>
        <w:spacing w:line="550" w:lineRule="exact"/>
        <w:rPr>
          <w:rFonts w:hint="eastAsia" w:ascii="宋体" w:hAnsi="宋体"/>
          <w:bCs/>
          <w:szCs w:val="32"/>
        </w:rPr>
      </w:pPr>
      <w:r>
        <w:rPr>
          <w:rFonts w:hint="eastAsia" w:ascii="宋体" w:hAnsi="宋体"/>
          <w:bCs/>
          <w:szCs w:val="32"/>
        </w:rPr>
        <w:t>八、其他重要事项的情况说明</w:t>
      </w:r>
    </w:p>
    <w:p>
      <w:pPr>
        <w:spacing w:line="550" w:lineRule="exact"/>
        <w:rPr>
          <w:rFonts w:hint="eastAsia" w:ascii="宋体" w:hAnsi="宋体" w:eastAsia="宋体" w:cs="宋体"/>
          <w:b/>
          <w:szCs w:val="32"/>
        </w:rPr>
      </w:pPr>
    </w:p>
    <w:p>
      <w:pPr>
        <w:spacing w:line="550" w:lineRule="exact"/>
        <w:rPr>
          <w:rFonts w:hint="eastAsia" w:ascii="宋体" w:hAnsi="宋体" w:eastAsia="宋体" w:cs="宋体"/>
          <w:b/>
          <w:szCs w:val="32"/>
        </w:rPr>
      </w:pPr>
      <w:r>
        <w:rPr>
          <w:rFonts w:hint="eastAsia" w:ascii="宋体" w:hAnsi="宋体" w:eastAsia="宋体" w:cs="宋体"/>
          <w:b/>
          <w:szCs w:val="32"/>
        </w:rPr>
        <w:t>第四部分  名词解释</w:t>
      </w:r>
    </w:p>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r>
        <w:rPr>
          <w:rFonts w:hint="eastAsia" w:ascii="黑体" w:hAnsi="黑体" w:eastAsia="黑体"/>
          <w:szCs w:val="32"/>
        </w:rPr>
        <w:t>宿马现代产业园区管理委员会201</w:t>
      </w:r>
      <w:r>
        <w:rPr>
          <w:rFonts w:hint="eastAsia" w:ascii="黑体" w:hAnsi="黑体" w:eastAsia="黑体"/>
          <w:szCs w:val="32"/>
          <w:lang w:val="en-US" w:eastAsia="zh-CN"/>
        </w:rPr>
        <w:t>9</w:t>
      </w:r>
      <w:r>
        <w:rPr>
          <w:rFonts w:hint="eastAsia" w:ascii="黑体" w:hAnsi="黑体" w:eastAsia="黑体"/>
          <w:szCs w:val="32"/>
        </w:rPr>
        <w:t>年度部门</w:t>
      </w:r>
      <w:r>
        <w:rPr>
          <w:rFonts w:hint="eastAsia" w:ascii="黑体" w:hAnsi="黑体" w:eastAsia="黑体"/>
          <w:szCs w:val="32"/>
          <w:lang w:eastAsia="zh-CN"/>
        </w:rPr>
        <w:t>预</w:t>
      </w:r>
      <w:r>
        <w:rPr>
          <w:rFonts w:hint="eastAsia" w:ascii="黑体" w:hAnsi="黑体" w:eastAsia="黑体"/>
          <w:szCs w:val="32"/>
        </w:rPr>
        <w:t>算情况</w:t>
      </w:r>
    </w:p>
    <w:p>
      <w:pPr>
        <w:ind w:firstLine="640" w:firstLineChars="200"/>
        <w:rPr>
          <w:rFonts w:hint="eastAsia" w:ascii="黑体" w:hAnsi="黑体" w:eastAsia="黑体"/>
          <w:szCs w:val="32"/>
        </w:rPr>
      </w:pPr>
      <w:r>
        <w:rPr>
          <w:rFonts w:hint="eastAsia" w:ascii="黑体" w:hAnsi="黑体" w:eastAsia="黑体"/>
          <w:szCs w:val="32"/>
        </w:rPr>
        <w:t>第一部分 宿马现代产业园区管理委员会概况</w:t>
      </w:r>
    </w:p>
    <w:p>
      <w:pPr>
        <w:ind w:firstLine="640" w:firstLineChars="200"/>
        <w:rPr>
          <w:rFonts w:hint="eastAsia" w:ascii="黑体" w:hAnsi="黑体" w:eastAsia="黑体"/>
          <w:szCs w:val="32"/>
        </w:rPr>
      </w:pPr>
      <w:r>
        <w:rPr>
          <w:rFonts w:hint="eastAsia" w:ascii="黑体" w:hAnsi="黑体" w:eastAsia="黑体"/>
          <w:szCs w:val="32"/>
        </w:rPr>
        <w:t>一、部门职责</w:t>
      </w:r>
    </w:p>
    <w:p>
      <w:pPr>
        <w:ind w:firstLine="640" w:firstLineChars="200"/>
        <w:rPr>
          <w:rFonts w:hint="eastAsia" w:ascii="仿宋_GB2312" w:hAnsi="仿宋"/>
          <w:szCs w:val="32"/>
        </w:rPr>
      </w:pPr>
      <w:r>
        <w:rPr>
          <w:rFonts w:hint="eastAsia" w:ascii="仿宋_GB2312" w:hAnsi="仿宋"/>
          <w:szCs w:val="32"/>
        </w:rPr>
        <w:t>宿州马鞍山现代产业园区管理委员会位于宿州市埇桥区境内，是在省委、省政府振兴皖北的战略部署下，依托京沪高铁宿州东站规划建设的一个园区。2012年1月18日，园区经省人民政府批准成立，由宿州市、马鞍山合作共建，独立运作，享受省级开发区政策。现托管埇桥区东部新城行政管理委员会（行管会下辖11个行政村），面积105平方公里，人口约5万人。宿州马鞍山现代产业园区管理委员会在市政府领导下，对园区规划范围内的经济社会事务进行管理，负责基础设施和公共设施建设、招商引资、企业服务管理、规划、征地、拆迁、安置等工作。中共宿马现代产业园区工作委员会在市委的领导下，负责辖区内党的组织建设以及党员教育工作，依照干部管理权限，负责辖区的干部管理工作，领导产业园区工会、共青团、妇联等群团工作，贯彻落实市委对宿马现代产业园区党组织的指示、决定等，承办市政府交办的其他工作。根据上述职责，园区管委会（党工委）内设7部一室：综合事务部、征迁事务部、规划建设部、投资促进部、社会事务部、财务审计部、经济发展部和监察室。为支持园区建设和发展，税务局</w:t>
      </w:r>
      <w:r>
        <w:rPr>
          <w:rFonts w:hint="eastAsia" w:ascii="仿宋_GB2312" w:hAnsi="仿宋"/>
          <w:szCs w:val="32"/>
          <w:lang w:eastAsia="zh-CN"/>
        </w:rPr>
        <w:t>、</w:t>
      </w:r>
      <w:r>
        <w:rPr>
          <w:rFonts w:hint="eastAsia" w:ascii="仿宋_GB2312" w:hAnsi="仿宋"/>
          <w:szCs w:val="32"/>
          <w:lang w:val="en-US" w:eastAsia="zh-CN"/>
        </w:rPr>
        <w:t>技术监督</w:t>
      </w:r>
      <w:r>
        <w:rPr>
          <w:rFonts w:hint="eastAsia" w:ascii="仿宋_GB2312" w:hAnsi="仿宋"/>
          <w:szCs w:val="32"/>
          <w:lang w:eastAsia="zh-CN"/>
        </w:rPr>
        <w:t>局</w:t>
      </w:r>
      <w:r>
        <w:rPr>
          <w:rFonts w:hint="eastAsia" w:ascii="仿宋_GB2312" w:hAnsi="仿宋"/>
          <w:szCs w:val="32"/>
        </w:rPr>
        <w:t>、环保局、住建委、房管局、消防队、公安局、及交警队和国土局等单位分别派驻工作组或设立分支机构。</w:t>
      </w:r>
    </w:p>
    <w:p>
      <w:pPr>
        <w:numPr>
          <w:ilvl w:val="0"/>
          <w:numId w:val="1"/>
        </w:numPr>
        <w:ind w:firstLine="640" w:firstLineChars="200"/>
        <w:rPr>
          <w:rFonts w:hint="eastAsia" w:ascii="黑体" w:hAnsi="黑体" w:eastAsia="黑体"/>
          <w:szCs w:val="32"/>
        </w:rPr>
      </w:pPr>
      <w:r>
        <w:rPr>
          <w:rFonts w:hint="eastAsia" w:ascii="黑体" w:hAnsi="黑体" w:eastAsia="黑体"/>
          <w:szCs w:val="32"/>
        </w:rPr>
        <w:t>机构设置</w:t>
      </w:r>
    </w:p>
    <w:p>
      <w:pPr>
        <w:ind w:firstLine="640" w:firstLineChars="200"/>
        <w:rPr>
          <w:rFonts w:hint="eastAsia" w:ascii="仿宋_GB2312" w:hAnsi="仿宋"/>
          <w:szCs w:val="32"/>
        </w:rPr>
      </w:pPr>
      <w:r>
        <w:rPr>
          <w:rFonts w:hint="eastAsia" w:ascii="仿宋_GB2312" w:hAnsi="仿宋"/>
          <w:szCs w:val="32"/>
        </w:rPr>
        <w:t xml:space="preserve">  从决算单位构成看，宿州马鞍山现代产业园区管理委员会</w:t>
      </w:r>
      <w:r>
        <w:rPr>
          <w:rFonts w:hint="eastAsia" w:ascii="仿宋_GB2312" w:hAnsi="仿宋"/>
          <w:szCs w:val="32"/>
          <w:lang w:val="en-US" w:eastAsia="zh-CN"/>
        </w:rPr>
        <w:t>2019</w:t>
      </w:r>
      <w:r>
        <w:rPr>
          <w:rFonts w:hint="eastAsia" w:ascii="仿宋_GB2312" w:hAnsi="仿宋"/>
          <w:szCs w:val="32"/>
        </w:rPr>
        <w:t>年度部门</w:t>
      </w:r>
      <w:r>
        <w:rPr>
          <w:rFonts w:hint="eastAsia" w:ascii="仿宋_GB2312" w:hAnsi="仿宋"/>
          <w:szCs w:val="32"/>
          <w:lang w:eastAsia="zh-CN"/>
        </w:rPr>
        <w:t>预</w:t>
      </w:r>
      <w:r>
        <w:rPr>
          <w:rFonts w:hint="eastAsia" w:ascii="仿宋_GB2312" w:hAnsi="仿宋"/>
          <w:szCs w:val="32"/>
        </w:rPr>
        <w:t>算包括：本级</w:t>
      </w:r>
      <w:r>
        <w:rPr>
          <w:rFonts w:hint="eastAsia" w:ascii="仿宋_GB2312" w:hAnsi="仿宋"/>
          <w:szCs w:val="32"/>
          <w:lang w:eastAsia="zh-CN"/>
        </w:rPr>
        <w:t>预</w:t>
      </w:r>
      <w:r>
        <w:rPr>
          <w:rFonts w:hint="eastAsia" w:ascii="仿宋_GB2312" w:hAnsi="仿宋"/>
          <w:szCs w:val="32"/>
        </w:rPr>
        <w:t>算</w:t>
      </w:r>
      <w:r>
        <w:rPr>
          <w:rFonts w:hint="eastAsia" w:ascii="仿宋_GB2312" w:hAnsi="仿宋"/>
          <w:color w:val="auto"/>
          <w:szCs w:val="32"/>
        </w:rPr>
        <w:t>和所属事业单位</w:t>
      </w:r>
      <w:r>
        <w:rPr>
          <w:rFonts w:hint="eastAsia" w:ascii="仿宋_GB2312" w:hAnsi="仿宋"/>
          <w:color w:val="auto"/>
          <w:szCs w:val="32"/>
          <w:lang w:eastAsia="zh-CN"/>
        </w:rPr>
        <w:t>预</w:t>
      </w:r>
      <w:r>
        <w:rPr>
          <w:rFonts w:hint="eastAsia" w:ascii="仿宋_GB2312" w:hAnsi="仿宋"/>
          <w:color w:val="auto"/>
          <w:szCs w:val="32"/>
        </w:rPr>
        <w:t>算</w:t>
      </w:r>
      <w:r>
        <w:rPr>
          <w:rFonts w:hint="eastAsia" w:ascii="仿宋_GB2312" w:hAnsi="仿宋"/>
          <w:szCs w:val="32"/>
        </w:rPr>
        <w:t>。</w:t>
      </w:r>
    </w:p>
    <w:p>
      <w:pPr>
        <w:ind w:firstLine="640" w:firstLineChars="200"/>
        <w:rPr>
          <w:rFonts w:hint="eastAsia" w:ascii="仿宋_GB2312" w:hAnsi="仿宋"/>
          <w:szCs w:val="32"/>
        </w:rPr>
      </w:pPr>
      <w:r>
        <w:rPr>
          <w:rFonts w:hint="eastAsia" w:ascii="仿宋_GB2312" w:hAnsi="仿宋"/>
          <w:szCs w:val="32"/>
        </w:rPr>
        <w:t>纳入宿州马鞍山现代产业园区管理委员会</w:t>
      </w:r>
      <w:r>
        <w:rPr>
          <w:rFonts w:hint="eastAsia" w:ascii="仿宋_GB2312" w:hAnsi="仿宋"/>
          <w:szCs w:val="32"/>
          <w:lang w:val="en-US" w:eastAsia="zh-CN"/>
        </w:rPr>
        <w:t>2019</w:t>
      </w:r>
      <w:r>
        <w:rPr>
          <w:rFonts w:hint="eastAsia" w:ascii="仿宋_GB2312" w:hAnsi="仿宋"/>
          <w:szCs w:val="32"/>
        </w:rPr>
        <w:t>年度部门决算编制范围的</w:t>
      </w:r>
      <w:r>
        <w:rPr>
          <w:rFonts w:hint="eastAsia" w:ascii="仿宋_GB2312" w:hAnsi="仿宋"/>
          <w:color w:val="auto"/>
          <w:szCs w:val="32"/>
        </w:rPr>
        <w:t>二级单位</w:t>
      </w:r>
      <w:r>
        <w:rPr>
          <w:rFonts w:hint="eastAsia" w:ascii="仿宋_GB2312" w:hAnsi="仿宋"/>
          <w:szCs w:val="32"/>
        </w:rPr>
        <w:t>共1个，详细情况见下表：</w:t>
      </w:r>
    </w:p>
    <w:p>
      <w:pPr>
        <w:rPr>
          <w:rFonts w:hint="eastAsia" w:ascii="仿宋_GB2312" w:hAnsi="仿宋"/>
          <w:szCs w:val="32"/>
        </w:rPr>
      </w:pPr>
    </w:p>
    <w:tbl>
      <w:tblPr>
        <w:tblStyle w:val="5"/>
        <w:tblW w:w="7226" w:type="dxa"/>
        <w:tblInd w:w="828" w:type="dxa"/>
        <w:shd w:val="clear" w:color="auto" w:fill="FFFFFF"/>
        <w:tblLayout w:type="fixed"/>
        <w:tblCellMar>
          <w:top w:w="0" w:type="dxa"/>
          <w:left w:w="0" w:type="dxa"/>
          <w:bottom w:w="0" w:type="dxa"/>
          <w:right w:w="0" w:type="dxa"/>
        </w:tblCellMar>
      </w:tblPr>
      <w:tblGrid>
        <w:gridCol w:w="1389"/>
        <w:gridCol w:w="5837"/>
      </w:tblGrid>
      <w:tr>
        <w:tblPrEx>
          <w:shd w:val="clear" w:color="auto" w:fill="FFFFFF"/>
          <w:tblCellMar>
            <w:top w:w="0" w:type="dxa"/>
            <w:left w:w="0" w:type="dxa"/>
            <w:bottom w:w="0" w:type="dxa"/>
            <w:right w:w="0" w:type="dxa"/>
          </w:tblCellMar>
        </w:tblPrEx>
        <w:trPr>
          <w:trHeight w:val="397" w:hRule="exact"/>
        </w:trPr>
        <w:tc>
          <w:tcPr>
            <w:tcW w:w="1389" w:type="dxa"/>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pPr>
              <w:jc w:val="center"/>
              <w:rPr>
                <w:rFonts w:hint="eastAsia" w:ascii="宋体" w:hAnsi="宋体"/>
                <w:sz w:val="24"/>
              </w:rPr>
            </w:pPr>
            <w:r>
              <w:rPr>
                <w:rFonts w:hint="eastAsia" w:ascii="宋体" w:hAnsi="宋体"/>
                <w:sz w:val="24"/>
              </w:rPr>
              <w:t>序号</w:t>
            </w:r>
          </w:p>
        </w:tc>
        <w:tc>
          <w:tcPr>
            <w:tcW w:w="5837"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pPr>
              <w:jc w:val="center"/>
              <w:rPr>
                <w:rFonts w:hint="eastAsia" w:ascii="宋体" w:hAnsi="宋体"/>
                <w:sz w:val="24"/>
              </w:rPr>
            </w:pPr>
            <w:r>
              <w:rPr>
                <w:rFonts w:hint="eastAsia" w:ascii="宋体" w:hAnsi="宋体"/>
                <w:sz w:val="24"/>
              </w:rPr>
              <w:t>单位名称</w:t>
            </w:r>
          </w:p>
        </w:tc>
      </w:tr>
      <w:tr>
        <w:tblPrEx>
          <w:tblCellMar>
            <w:top w:w="0" w:type="dxa"/>
            <w:left w:w="0" w:type="dxa"/>
            <w:bottom w:w="0" w:type="dxa"/>
            <w:right w:w="0" w:type="dxa"/>
          </w:tblCellMar>
        </w:tblPrEx>
        <w:trPr>
          <w:trHeight w:val="397" w:hRule="exact"/>
        </w:trPr>
        <w:tc>
          <w:tcPr>
            <w:tcW w:w="138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pPr>
              <w:jc w:val="center"/>
              <w:rPr>
                <w:rFonts w:hint="eastAsia" w:ascii="宋体" w:hAnsi="宋体" w:cs="宋体"/>
                <w:sz w:val="24"/>
              </w:rPr>
            </w:pPr>
            <w:r>
              <w:rPr>
                <w:rFonts w:hint="eastAsia" w:ascii="宋体" w:hAnsi="宋体"/>
                <w:sz w:val="24"/>
              </w:rPr>
              <w:t>1</w:t>
            </w:r>
          </w:p>
        </w:tc>
        <w:tc>
          <w:tcPr>
            <w:tcW w:w="5837"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pPr>
              <w:rPr>
                <w:rFonts w:hint="eastAsia" w:ascii="宋体" w:hAnsi="宋体"/>
                <w:sz w:val="24"/>
              </w:rPr>
            </w:pPr>
            <w:r>
              <w:rPr>
                <w:rFonts w:hint="eastAsia" w:ascii="宋体" w:hAnsi="宋体"/>
                <w:sz w:val="24"/>
              </w:rPr>
              <w:t>宿马现代产业园区管理委员会本级</w:t>
            </w:r>
          </w:p>
        </w:tc>
      </w:tr>
    </w:tbl>
    <w:p>
      <w:pPr>
        <w:jc w:val="both"/>
        <w:rPr>
          <w:rFonts w:hint="eastAsia" w:ascii="黑体" w:hAnsi="黑体" w:eastAsia="黑体"/>
          <w:szCs w:val="32"/>
        </w:rPr>
      </w:pPr>
    </w:p>
    <w:p>
      <w:pPr>
        <w:ind w:firstLine="640" w:firstLineChars="200"/>
        <w:jc w:val="both"/>
        <w:rPr>
          <w:rFonts w:hint="eastAsia" w:ascii="黑体" w:hAnsi="黑体" w:eastAsia="黑体"/>
          <w:szCs w:val="32"/>
        </w:rPr>
      </w:pPr>
      <w:r>
        <w:rPr>
          <w:rFonts w:hint="eastAsia" w:ascii="黑体" w:hAnsi="黑体" w:eastAsia="黑体"/>
          <w:szCs w:val="32"/>
        </w:rPr>
        <w:t>第二部分 宿马现代产业园区管理委员会20</w:t>
      </w:r>
      <w:r>
        <w:rPr>
          <w:rFonts w:hint="eastAsia" w:ascii="黑体" w:hAnsi="黑体" w:eastAsia="黑体"/>
          <w:szCs w:val="32"/>
          <w:lang w:val="en-US" w:eastAsia="zh-CN"/>
        </w:rPr>
        <w:t>19</w:t>
      </w:r>
      <w:r>
        <w:rPr>
          <w:rFonts w:hint="eastAsia" w:ascii="黑体" w:hAnsi="黑体" w:eastAsia="黑体"/>
          <w:szCs w:val="32"/>
        </w:rPr>
        <w:t>年部门预算表</w:t>
      </w:r>
    </w:p>
    <w:tbl>
      <w:tblPr>
        <w:tblStyle w:val="5"/>
        <w:tblW w:w="89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830"/>
        <w:gridCol w:w="832"/>
        <w:gridCol w:w="1704"/>
        <w:gridCol w:w="2073"/>
        <w:gridCol w:w="886"/>
        <w:gridCol w:w="16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8962" w:type="dxa"/>
            <w:gridSpan w:val="6"/>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华文中宋" w:hAnsi="华文中宋" w:eastAsia="华文中宋" w:cs="宋体"/>
                <w:b/>
                <w:bCs/>
                <w:kern w:val="0"/>
                <w:sz w:val="36"/>
                <w:szCs w:val="36"/>
              </w:rPr>
              <w:t>收支</w:t>
            </w:r>
            <w:r>
              <w:rPr>
                <w:rFonts w:hint="eastAsia" w:ascii="华文中宋" w:hAnsi="华文中宋" w:eastAsia="华文中宋" w:cs="宋体"/>
                <w:b/>
                <w:bCs/>
                <w:kern w:val="0"/>
                <w:sz w:val="36"/>
                <w:szCs w:val="36"/>
                <w:lang w:eastAsia="zh-CN"/>
              </w:rPr>
              <w:t>预算</w:t>
            </w:r>
            <w:r>
              <w:rPr>
                <w:rFonts w:hint="eastAsia" w:ascii="华文中宋" w:hAnsi="华文中宋" w:eastAsia="华文中宋" w:cs="宋体"/>
                <w:b/>
                <w:bCs/>
                <w:kern w:val="0"/>
                <w:sz w:val="36"/>
                <w:szCs w:val="36"/>
              </w:rPr>
              <w:t>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6439" w:type="dxa"/>
            <w:gridSpan w:val="4"/>
            <w:shd w:val="clear" w:color="auto" w:fill="auto"/>
            <w:vAlign w:val="bottom"/>
          </w:tcPr>
          <w:p>
            <w:pPr>
              <w:jc w:val="left"/>
              <w:rPr>
                <w:rFonts w:hint="eastAsia" w:ascii="Arial" w:hAnsi="Arial" w:cs="Arial"/>
                <w:i w:val="0"/>
                <w:color w:val="000000"/>
                <w:sz w:val="20"/>
                <w:szCs w:val="20"/>
                <w:u w:val="none"/>
              </w:rPr>
            </w:pPr>
          </w:p>
        </w:tc>
        <w:tc>
          <w:tcPr>
            <w:tcW w:w="886" w:type="dxa"/>
            <w:shd w:val="clear" w:color="auto" w:fill="auto"/>
            <w:vAlign w:val="bottom"/>
          </w:tcPr>
          <w:p>
            <w:pPr>
              <w:rPr>
                <w:rFonts w:hint="default" w:ascii="Arial" w:hAnsi="Arial" w:cs="Arial"/>
                <w:i w:val="0"/>
                <w:color w:val="000000"/>
                <w:sz w:val="20"/>
                <w:szCs w:val="20"/>
                <w:u w:val="none"/>
              </w:rPr>
            </w:pPr>
          </w:p>
        </w:tc>
        <w:tc>
          <w:tcPr>
            <w:tcW w:w="1637"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6439" w:type="dxa"/>
            <w:gridSpan w:val="4"/>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p>
        </w:tc>
        <w:tc>
          <w:tcPr>
            <w:tcW w:w="886" w:type="dxa"/>
            <w:shd w:val="clear" w:color="auto" w:fill="auto"/>
            <w:vAlign w:val="bottom"/>
          </w:tcPr>
          <w:p>
            <w:pPr>
              <w:rPr>
                <w:rFonts w:hint="default" w:ascii="Arial" w:hAnsi="Arial" w:cs="Arial"/>
                <w:i w:val="0"/>
                <w:color w:val="000000"/>
                <w:sz w:val="20"/>
                <w:szCs w:val="20"/>
                <w:u w:val="none"/>
              </w:rPr>
            </w:pPr>
          </w:p>
        </w:tc>
        <w:tc>
          <w:tcPr>
            <w:tcW w:w="1637"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4366" w:type="dxa"/>
            <w:gridSpan w:val="3"/>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收入</w:t>
            </w:r>
          </w:p>
        </w:tc>
        <w:tc>
          <w:tcPr>
            <w:tcW w:w="4596" w:type="dxa"/>
            <w:gridSpan w:val="3"/>
            <w:tcBorders>
              <w:top w:val="single" w:color="000000" w:sz="4" w:space="0"/>
              <w:bottom w:val="single" w:color="000000" w:sz="4" w:space="0"/>
              <w:right w:val="single" w:color="000000" w:sz="12"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704"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637" w:type="dxa"/>
            <w:tcBorders>
              <w:bottom w:val="single" w:color="000000" w:sz="4" w:space="0"/>
              <w:right w:val="single" w:color="000000" w:sz="12"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32"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704"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预算数</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栏次</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37" w:type="dxa"/>
            <w:tcBorders>
              <w:bottom w:val="single" w:color="000000" w:sz="4" w:space="0"/>
              <w:right w:val="single" w:color="000000" w:sz="12"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一般公共预算拨款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40949.20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4086.00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2400.00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三、上级补助收入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四、事业收入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1069.50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五、经营收入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六、附属单位上缴收入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七、其他收入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50000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righ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七、文化旅游体育与传媒支出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41</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85.57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113.70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2162.00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31461.04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1825.07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27.85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十四、资源勘探信息等支出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48</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49.39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53</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二十一、灾害防治及应急管理支出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369.08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0"/>
                <w:szCs w:val="20"/>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二十二、其他支出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56</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58499.24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0"/>
                <w:szCs w:val="20"/>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二十三、债务还本支出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57</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b/>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二十四、债务付息支出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58</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59</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60</w:t>
            </w:r>
          </w:p>
        </w:tc>
        <w:tc>
          <w:tcPr>
            <w:tcW w:w="1637" w:type="dxa"/>
            <w:tcBorders>
              <w:bottom w:val="single" w:color="000000" w:sz="4" w:space="0"/>
              <w:right w:val="single" w:color="000000" w:sz="12"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93349.2</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61</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93349.2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用事业基金弥补收支差额</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结余分配</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62</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8499.24</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63</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64</w:t>
            </w:r>
          </w:p>
        </w:tc>
        <w:tc>
          <w:tcPr>
            <w:tcW w:w="1637" w:type="dxa"/>
            <w:tcBorders>
              <w:bottom w:val="single" w:color="000000" w:sz="4" w:space="0"/>
              <w:right w:val="single" w:color="000000" w:sz="12" w:space="0"/>
            </w:tcBorders>
            <w:shd w:val="clear" w:color="auto" w:fill="auto"/>
            <w:vAlign w:val="center"/>
          </w:tcPr>
          <w:p>
            <w:pPr>
              <w:jc w:val="lef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832" w:type="dxa"/>
            <w:tcBorders>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w:t>
            </w:r>
          </w:p>
        </w:tc>
        <w:tc>
          <w:tcPr>
            <w:tcW w:w="1704" w:type="dxa"/>
            <w:tcBorders>
              <w:bottom w:val="single" w:color="000000" w:sz="12"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101848.44</w:t>
            </w:r>
          </w:p>
        </w:tc>
        <w:tc>
          <w:tcPr>
            <w:tcW w:w="2073" w:type="dxa"/>
            <w:tcBorders>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886" w:type="dxa"/>
            <w:tcBorders>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65</w:t>
            </w:r>
          </w:p>
        </w:tc>
        <w:tc>
          <w:tcPr>
            <w:tcW w:w="1637" w:type="dxa"/>
            <w:tcBorders>
              <w:bottom w:val="single" w:color="000000" w:sz="12"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101848.44</w:t>
            </w:r>
          </w:p>
        </w:tc>
      </w:tr>
    </w:tbl>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p>
    <w:tbl>
      <w:tblPr>
        <w:tblStyle w:val="5"/>
        <w:tblW w:w="8429" w:type="dxa"/>
        <w:tblInd w:w="93" w:type="dxa"/>
        <w:shd w:val="clear" w:color="auto" w:fill="auto"/>
        <w:tblLayout w:type="fixed"/>
        <w:tblCellMar>
          <w:top w:w="0" w:type="dxa"/>
          <w:left w:w="108" w:type="dxa"/>
          <w:bottom w:w="0" w:type="dxa"/>
          <w:right w:w="108" w:type="dxa"/>
        </w:tblCellMar>
      </w:tblPr>
      <w:tblGrid>
        <w:gridCol w:w="415"/>
        <w:gridCol w:w="415"/>
        <w:gridCol w:w="415"/>
        <w:gridCol w:w="2802"/>
        <w:gridCol w:w="1159"/>
        <w:gridCol w:w="1268"/>
        <w:gridCol w:w="791"/>
        <w:gridCol w:w="1164"/>
      </w:tblGrid>
      <w:tr>
        <w:tblPrEx>
          <w:shd w:val="clear" w:color="auto" w:fill="auto"/>
          <w:tblCellMar>
            <w:top w:w="0" w:type="dxa"/>
            <w:left w:w="108" w:type="dxa"/>
            <w:bottom w:w="0" w:type="dxa"/>
            <w:right w:w="108" w:type="dxa"/>
          </w:tblCellMar>
        </w:tblPrEx>
        <w:trPr>
          <w:trHeight w:val="465" w:hRule="atLeast"/>
        </w:trPr>
        <w:tc>
          <w:tcPr>
            <w:tcW w:w="8429" w:type="dxa"/>
            <w:gridSpan w:val="8"/>
            <w:tcBorders>
              <w:top w:val="nil"/>
              <w:left w:val="nil"/>
              <w:bottom w:val="nil"/>
              <w:right w:val="nil"/>
            </w:tcBorders>
            <w:shd w:val="clear" w:color="auto" w:fill="auto"/>
            <w:noWrap/>
            <w:vAlign w:val="bottom"/>
          </w:tcPr>
          <w:p>
            <w:pPr>
              <w:keepNext w:val="0"/>
              <w:keepLines w:val="0"/>
              <w:widowControl/>
              <w:suppressLineNumbers w:val="0"/>
              <w:jc w:val="center"/>
              <w:textAlignment w:val="bottom"/>
              <w:rPr>
                <w:rFonts w:ascii="华文中宋" w:hAnsi="华文中宋" w:eastAsia="华文中宋" w:cs="华文中宋"/>
                <w:b/>
                <w:bCs/>
                <w:i w:val="0"/>
                <w:iCs w:val="0"/>
                <w:color w:val="000000"/>
                <w:sz w:val="36"/>
                <w:szCs w:val="36"/>
                <w:u w:val="none"/>
              </w:rPr>
            </w:pPr>
            <w:r>
              <w:rPr>
                <w:rFonts w:hint="default" w:ascii="华文中宋" w:hAnsi="华文中宋" w:eastAsia="华文中宋" w:cs="华文中宋"/>
                <w:b/>
                <w:bCs/>
                <w:i w:val="0"/>
                <w:iCs w:val="0"/>
                <w:color w:val="000000"/>
                <w:kern w:val="0"/>
                <w:sz w:val="36"/>
                <w:szCs w:val="36"/>
                <w:u w:val="none"/>
                <w:lang w:val="en-US" w:eastAsia="zh-CN" w:bidi="ar"/>
              </w:rPr>
              <w:t>收入</w:t>
            </w:r>
            <w:r>
              <w:rPr>
                <w:rFonts w:hint="eastAsia" w:ascii="华文中宋" w:hAnsi="华文中宋" w:eastAsia="华文中宋" w:cs="华文中宋"/>
                <w:b/>
                <w:bCs/>
                <w:i w:val="0"/>
                <w:iCs w:val="0"/>
                <w:color w:val="000000"/>
                <w:kern w:val="0"/>
                <w:sz w:val="36"/>
                <w:szCs w:val="36"/>
                <w:u w:val="none"/>
                <w:lang w:val="en-US" w:eastAsia="zh-CN" w:bidi="ar"/>
              </w:rPr>
              <w:t>预算</w:t>
            </w:r>
            <w:r>
              <w:rPr>
                <w:rFonts w:hint="default" w:ascii="华文中宋" w:hAnsi="华文中宋" w:eastAsia="华文中宋" w:cs="华文中宋"/>
                <w:b/>
                <w:bCs/>
                <w:i w:val="0"/>
                <w:iCs w:val="0"/>
                <w:color w:val="000000"/>
                <w:kern w:val="0"/>
                <w:sz w:val="36"/>
                <w:szCs w:val="36"/>
                <w:u w:val="none"/>
                <w:lang w:val="en-US" w:eastAsia="zh-CN" w:bidi="ar"/>
              </w:rPr>
              <w:t>表</w:t>
            </w:r>
          </w:p>
        </w:tc>
      </w:tr>
      <w:tr>
        <w:tblPrEx>
          <w:tblCellMar>
            <w:top w:w="0" w:type="dxa"/>
            <w:left w:w="108" w:type="dxa"/>
            <w:bottom w:w="0" w:type="dxa"/>
            <w:right w:w="108" w:type="dxa"/>
          </w:tblCellMar>
        </w:tblPrEx>
        <w:trPr>
          <w:trHeight w:val="255" w:hRule="atLeast"/>
        </w:trPr>
        <w:tc>
          <w:tcPr>
            <w:tcW w:w="415" w:type="dxa"/>
            <w:tcBorders>
              <w:top w:val="nil"/>
              <w:left w:val="nil"/>
              <w:bottom w:val="nil"/>
              <w:right w:val="nil"/>
            </w:tcBorders>
            <w:shd w:val="clear" w:color="auto" w:fill="auto"/>
            <w:noWrap/>
            <w:vAlign w:val="bottom"/>
          </w:tcPr>
          <w:p>
            <w:pPr>
              <w:jc w:val="both"/>
              <w:rPr>
                <w:rFonts w:hint="eastAsia" w:ascii="仿宋_GB2312" w:hAnsi="Arial" w:eastAsia="仿宋_GB2312" w:cs="仿宋_GB2312"/>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2802"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159"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268"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955" w:type="dxa"/>
            <w:gridSpan w:val="2"/>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公开02表</w:t>
            </w:r>
          </w:p>
        </w:tc>
      </w:tr>
      <w:tr>
        <w:tblPrEx>
          <w:tblCellMar>
            <w:top w:w="0" w:type="dxa"/>
            <w:left w:w="108" w:type="dxa"/>
            <w:bottom w:w="0" w:type="dxa"/>
            <w:right w:w="108" w:type="dxa"/>
          </w:tblCellMar>
        </w:tblPrEx>
        <w:trPr>
          <w:trHeight w:val="270" w:hRule="atLeast"/>
        </w:trPr>
        <w:tc>
          <w:tcPr>
            <w:tcW w:w="415"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2802"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1159"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1268"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1955" w:type="dxa"/>
            <w:gridSpan w:val="2"/>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单位：万元</w:t>
            </w:r>
          </w:p>
        </w:tc>
      </w:tr>
      <w:tr>
        <w:tblPrEx>
          <w:tblCellMar>
            <w:top w:w="0" w:type="dxa"/>
            <w:left w:w="108" w:type="dxa"/>
            <w:bottom w:w="0" w:type="dxa"/>
            <w:right w:w="108" w:type="dxa"/>
          </w:tblCellMar>
        </w:tblPrEx>
        <w:trPr>
          <w:trHeight w:val="1110" w:hRule="atLeast"/>
        </w:trPr>
        <w:tc>
          <w:tcPr>
            <w:tcW w:w="1245" w:type="dxa"/>
            <w:gridSpan w:val="3"/>
            <w:tcBorders>
              <w:top w:val="single" w:color="000000" w:sz="8" w:space="0"/>
              <w:left w:val="single" w:color="000000" w:sz="8" w:space="0"/>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科目编码</w:t>
            </w:r>
          </w:p>
        </w:tc>
        <w:tc>
          <w:tcPr>
            <w:tcW w:w="2802" w:type="dxa"/>
            <w:tcBorders>
              <w:top w:val="single" w:color="000000" w:sz="8" w:space="0"/>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科目名称</w:t>
            </w:r>
          </w:p>
        </w:tc>
        <w:tc>
          <w:tcPr>
            <w:tcW w:w="1159"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本年收入合计</w:t>
            </w:r>
          </w:p>
        </w:tc>
        <w:tc>
          <w:tcPr>
            <w:tcW w:w="1268"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一般公共预算拨款收入</w:t>
            </w:r>
          </w:p>
        </w:tc>
        <w:tc>
          <w:tcPr>
            <w:tcW w:w="791" w:type="dxa"/>
            <w:tcBorders>
              <w:top w:val="nil"/>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基金收入</w:t>
            </w:r>
          </w:p>
        </w:tc>
        <w:tc>
          <w:tcPr>
            <w:tcW w:w="1164" w:type="dxa"/>
            <w:tcBorders>
              <w:top w:val="nil"/>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其他收入</w:t>
            </w:r>
          </w:p>
        </w:tc>
      </w:tr>
      <w:tr>
        <w:tblPrEx>
          <w:tblCellMar>
            <w:top w:w="0" w:type="dxa"/>
            <w:left w:w="108" w:type="dxa"/>
            <w:bottom w:w="0" w:type="dxa"/>
            <w:right w:w="108" w:type="dxa"/>
          </w:tblCellMar>
        </w:tblPrEx>
        <w:trPr>
          <w:trHeight w:val="285" w:hRule="atLeast"/>
        </w:trPr>
        <w:tc>
          <w:tcPr>
            <w:tcW w:w="415" w:type="dxa"/>
            <w:tcBorders>
              <w:top w:val="nil"/>
              <w:left w:val="single" w:color="000000" w:sz="8" w:space="0"/>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类</w:t>
            </w:r>
          </w:p>
        </w:tc>
        <w:tc>
          <w:tcPr>
            <w:tcW w:w="415"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款</w:t>
            </w:r>
          </w:p>
        </w:tc>
        <w:tc>
          <w:tcPr>
            <w:tcW w:w="415"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2802"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栏次</w:t>
            </w:r>
          </w:p>
        </w:tc>
        <w:tc>
          <w:tcPr>
            <w:tcW w:w="1159" w:type="dxa"/>
            <w:tcBorders>
              <w:top w:val="nil"/>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68"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91"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164"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tblPrEx>
          <w:tblCellMar>
            <w:top w:w="0" w:type="dxa"/>
            <w:left w:w="108" w:type="dxa"/>
            <w:bottom w:w="0" w:type="dxa"/>
            <w:right w:w="108" w:type="dxa"/>
          </w:tblCellMar>
        </w:tblPrEx>
        <w:trPr>
          <w:trHeight w:val="285" w:hRule="atLeast"/>
        </w:trPr>
        <w:tc>
          <w:tcPr>
            <w:tcW w:w="415" w:type="dxa"/>
            <w:tcBorders>
              <w:top w:val="nil"/>
              <w:left w:val="single" w:color="000000" w:sz="8" w:space="0"/>
              <w:bottom w:val="single" w:color="000000" w:sz="8" w:space="0"/>
              <w:right w:val="single" w:color="000000" w:sz="8" w:space="0"/>
            </w:tcBorders>
            <w:shd w:val="clear" w:color="auto" w:fill="C0C0C0"/>
            <w:noWrap/>
            <w:vAlign w:val="bottom"/>
          </w:tcPr>
          <w:p>
            <w:pPr>
              <w:jc w:val="center"/>
              <w:rPr>
                <w:rFonts w:hint="eastAsia" w:ascii="宋体" w:hAnsi="宋体" w:eastAsia="宋体" w:cs="宋体"/>
                <w:i w:val="0"/>
                <w:iCs w:val="0"/>
                <w:color w:val="000000"/>
                <w:sz w:val="22"/>
                <w:szCs w:val="22"/>
                <w:u w:val="none"/>
              </w:rPr>
            </w:pPr>
          </w:p>
        </w:tc>
        <w:tc>
          <w:tcPr>
            <w:tcW w:w="415" w:type="dxa"/>
            <w:tcBorders>
              <w:top w:val="nil"/>
              <w:left w:val="nil"/>
              <w:bottom w:val="single" w:color="000000" w:sz="8" w:space="0"/>
              <w:right w:val="single" w:color="000000" w:sz="8" w:space="0"/>
            </w:tcBorders>
            <w:shd w:val="clear" w:color="auto" w:fill="C0C0C0"/>
            <w:noWrap/>
            <w:vAlign w:val="bottom"/>
          </w:tcPr>
          <w:p>
            <w:pPr>
              <w:jc w:val="center"/>
              <w:rPr>
                <w:rFonts w:hint="eastAsia" w:ascii="宋体" w:hAnsi="宋体" w:eastAsia="宋体" w:cs="宋体"/>
                <w:i w:val="0"/>
                <w:iCs w:val="0"/>
                <w:color w:val="000000"/>
                <w:sz w:val="22"/>
                <w:szCs w:val="22"/>
                <w:u w:val="none"/>
              </w:rPr>
            </w:pPr>
          </w:p>
        </w:tc>
        <w:tc>
          <w:tcPr>
            <w:tcW w:w="415" w:type="dxa"/>
            <w:tcBorders>
              <w:top w:val="nil"/>
              <w:left w:val="nil"/>
              <w:bottom w:val="single" w:color="000000" w:sz="8" w:space="0"/>
              <w:right w:val="single" w:color="000000" w:sz="8" w:space="0"/>
            </w:tcBorders>
            <w:shd w:val="clear" w:color="auto" w:fill="C0C0C0"/>
            <w:noWrap/>
            <w:vAlign w:val="bottom"/>
          </w:tcPr>
          <w:p>
            <w:pPr>
              <w:jc w:val="center"/>
              <w:rPr>
                <w:rFonts w:hint="eastAsia" w:ascii="宋体" w:hAnsi="宋体" w:eastAsia="宋体" w:cs="宋体"/>
                <w:i w:val="0"/>
                <w:iCs w:val="0"/>
                <w:color w:val="000000"/>
                <w:sz w:val="22"/>
                <w:szCs w:val="22"/>
                <w:u w:val="none"/>
              </w:rPr>
            </w:pPr>
          </w:p>
        </w:tc>
        <w:tc>
          <w:tcPr>
            <w:tcW w:w="2802"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1159"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93349.2</w:t>
            </w:r>
          </w:p>
        </w:tc>
        <w:tc>
          <w:tcPr>
            <w:tcW w:w="1268"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40,949.20</w:t>
            </w:r>
          </w:p>
        </w:tc>
        <w:tc>
          <w:tcPr>
            <w:tcW w:w="791"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一般公共服务支出</w:t>
            </w:r>
          </w:p>
        </w:tc>
        <w:tc>
          <w:tcPr>
            <w:tcW w:w="1159"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4,086.00</w:t>
            </w:r>
          </w:p>
        </w:tc>
        <w:tc>
          <w:tcPr>
            <w:tcW w:w="1268"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4,086.00</w:t>
            </w:r>
          </w:p>
        </w:tc>
        <w:tc>
          <w:tcPr>
            <w:tcW w:w="791"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政府办公厅（室）及相关机构事务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1784.69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1784.69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675.45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675.45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2010308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信访事务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其他政府办公厅（室）及相关机构事务支出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1004.14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1004.14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发展与改革事务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2010499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其他发展与改革事务支出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20106</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财政事务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2010699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其他财政事务支出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20107</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税收事务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2010799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其他税收事务支出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纪检监察事务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其他纪检监察事务支出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商贸事务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2011308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招商引资</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其他党委办公厅（室）及相关机构事务支出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1236.94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1236.94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市场监督管理事务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2013899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其他市场监督管理事务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公共安全支出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20402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公安</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2040299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其他公安支出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20509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教育费附加安排的支出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2050999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其他教育费附加安排的支出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社会保障和就业支出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人力资源和社会保障管理事务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其他人力资源和社会保障管理事务支出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卫生健康支出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21007</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计划生育事务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2100799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其他计划生育事务支出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节能环保支出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2162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2162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环境保护管理事务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其他环境保护管理事务支出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污染防治</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2110302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水体</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其他污染防治支出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其他城乡社区管理事务支出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78635.35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26235.35</w:t>
            </w:r>
          </w:p>
        </w:tc>
        <w:tc>
          <w:tcPr>
            <w:tcW w:w="791"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城乡社区公共设施</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78635.35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26235.35</w:t>
            </w:r>
          </w:p>
        </w:tc>
        <w:tc>
          <w:tcPr>
            <w:tcW w:w="791"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小城镇基础设施建设</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其他城乡社区公共设施支出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77135.35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24735.35</w:t>
            </w:r>
          </w:p>
        </w:tc>
        <w:tc>
          <w:tcPr>
            <w:tcW w:w="791"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21205</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城乡社区环境卫生</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2120501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城乡社区环境卫生</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农林水支出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农业</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其他农业支出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水利</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其他水利支出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交通运输支出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公路水路运输</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其他公路水路运输支出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自然资源海洋气象等支出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自然资源事务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其他自然资源事务支出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灾害防治及应急管理支出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22402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2240299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其他消防事务支出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2802" w:type="dxa"/>
            <w:tcBorders>
              <w:top w:val="nil"/>
              <w:left w:val="nil"/>
              <w:bottom w:val="single" w:color="000000" w:sz="8" w:space="0"/>
              <w:right w:val="single" w:color="000000" w:sz="8"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159"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268"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791" w:type="dxa"/>
            <w:tcBorders>
              <w:top w:val="nil"/>
              <w:left w:val="nil"/>
              <w:bottom w:val="single" w:color="000000" w:sz="8" w:space="0"/>
              <w:right w:val="single" w:color="000000" w:sz="8" w:space="0"/>
            </w:tcBorders>
            <w:shd w:val="clear" w:color="auto" w:fill="auto"/>
            <w:noWrap/>
            <w:vAlign w:val="bottom"/>
          </w:tcPr>
          <w:p>
            <w:pP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bl>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p>
    <w:tbl>
      <w:tblPr>
        <w:tblStyle w:val="5"/>
        <w:tblW w:w="8429" w:type="dxa"/>
        <w:tblInd w:w="93" w:type="dxa"/>
        <w:shd w:val="clear" w:color="auto" w:fill="auto"/>
        <w:tblLayout w:type="fixed"/>
        <w:tblCellMar>
          <w:top w:w="0" w:type="dxa"/>
          <w:left w:w="108" w:type="dxa"/>
          <w:bottom w:w="0" w:type="dxa"/>
          <w:right w:w="108" w:type="dxa"/>
        </w:tblCellMar>
      </w:tblPr>
      <w:tblGrid>
        <w:gridCol w:w="415"/>
        <w:gridCol w:w="415"/>
        <w:gridCol w:w="415"/>
        <w:gridCol w:w="2802"/>
        <w:gridCol w:w="1159"/>
        <w:gridCol w:w="1268"/>
        <w:gridCol w:w="791"/>
        <w:gridCol w:w="1164"/>
      </w:tblGrid>
      <w:tr>
        <w:tblPrEx>
          <w:shd w:val="clear" w:color="auto" w:fill="auto"/>
          <w:tblCellMar>
            <w:top w:w="0" w:type="dxa"/>
            <w:left w:w="108" w:type="dxa"/>
            <w:bottom w:w="0" w:type="dxa"/>
            <w:right w:w="108" w:type="dxa"/>
          </w:tblCellMar>
        </w:tblPrEx>
        <w:trPr>
          <w:trHeight w:val="465" w:hRule="atLeast"/>
        </w:trPr>
        <w:tc>
          <w:tcPr>
            <w:tcW w:w="8429" w:type="dxa"/>
            <w:gridSpan w:val="8"/>
            <w:tcBorders>
              <w:top w:val="nil"/>
              <w:left w:val="nil"/>
              <w:bottom w:val="nil"/>
              <w:right w:val="nil"/>
            </w:tcBorders>
            <w:shd w:val="clear" w:color="auto" w:fill="auto"/>
            <w:noWrap/>
            <w:vAlign w:val="bottom"/>
          </w:tcPr>
          <w:p>
            <w:pPr>
              <w:keepNext w:val="0"/>
              <w:keepLines w:val="0"/>
              <w:widowControl/>
              <w:suppressLineNumbers w:val="0"/>
              <w:jc w:val="center"/>
              <w:textAlignment w:val="bottom"/>
              <w:rPr>
                <w:rFonts w:ascii="华文中宋" w:hAnsi="华文中宋" w:eastAsia="华文中宋" w:cs="华文中宋"/>
                <w:b/>
                <w:bCs/>
                <w:i w:val="0"/>
                <w:iCs w:val="0"/>
                <w:color w:val="000000"/>
                <w:sz w:val="36"/>
                <w:szCs w:val="36"/>
                <w:u w:val="none"/>
              </w:rPr>
            </w:pPr>
            <w:r>
              <w:rPr>
                <w:rFonts w:hint="eastAsia" w:ascii="华文中宋" w:hAnsi="华文中宋" w:eastAsia="华文中宋" w:cs="华文中宋"/>
                <w:b/>
                <w:bCs/>
                <w:i w:val="0"/>
                <w:iCs w:val="0"/>
                <w:color w:val="000000"/>
                <w:kern w:val="0"/>
                <w:sz w:val="36"/>
                <w:szCs w:val="36"/>
                <w:u w:val="none"/>
                <w:lang w:val="en-US" w:eastAsia="zh-CN" w:bidi="ar"/>
              </w:rPr>
              <w:t>支出预算</w:t>
            </w:r>
            <w:r>
              <w:rPr>
                <w:rFonts w:hint="default" w:ascii="华文中宋" w:hAnsi="华文中宋" w:eastAsia="华文中宋" w:cs="华文中宋"/>
                <w:b/>
                <w:bCs/>
                <w:i w:val="0"/>
                <w:iCs w:val="0"/>
                <w:color w:val="000000"/>
                <w:kern w:val="0"/>
                <w:sz w:val="36"/>
                <w:szCs w:val="36"/>
                <w:u w:val="none"/>
                <w:lang w:val="en-US" w:eastAsia="zh-CN" w:bidi="ar"/>
              </w:rPr>
              <w:t>表</w:t>
            </w:r>
          </w:p>
        </w:tc>
      </w:tr>
      <w:tr>
        <w:tblPrEx>
          <w:tblCellMar>
            <w:top w:w="0" w:type="dxa"/>
            <w:left w:w="108" w:type="dxa"/>
            <w:bottom w:w="0" w:type="dxa"/>
            <w:right w:w="108" w:type="dxa"/>
          </w:tblCellMar>
        </w:tblPrEx>
        <w:trPr>
          <w:trHeight w:val="255" w:hRule="atLeast"/>
        </w:trPr>
        <w:tc>
          <w:tcPr>
            <w:tcW w:w="415" w:type="dxa"/>
            <w:tcBorders>
              <w:top w:val="nil"/>
              <w:left w:val="nil"/>
              <w:bottom w:val="nil"/>
              <w:right w:val="nil"/>
            </w:tcBorders>
            <w:shd w:val="clear" w:color="auto" w:fill="auto"/>
            <w:noWrap/>
            <w:vAlign w:val="bottom"/>
          </w:tcPr>
          <w:p>
            <w:pPr>
              <w:jc w:val="both"/>
              <w:rPr>
                <w:rFonts w:hint="eastAsia" w:ascii="仿宋_GB2312" w:hAnsi="Arial" w:eastAsia="仿宋_GB2312" w:cs="仿宋_GB2312"/>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2802"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159"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268"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955" w:type="dxa"/>
            <w:gridSpan w:val="2"/>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公开03表</w:t>
            </w:r>
          </w:p>
        </w:tc>
      </w:tr>
      <w:tr>
        <w:tblPrEx>
          <w:tblCellMar>
            <w:top w:w="0" w:type="dxa"/>
            <w:left w:w="108" w:type="dxa"/>
            <w:bottom w:w="0" w:type="dxa"/>
            <w:right w:w="108" w:type="dxa"/>
          </w:tblCellMar>
        </w:tblPrEx>
        <w:trPr>
          <w:trHeight w:val="270" w:hRule="atLeast"/>
        </w:trPr>
        <w:tc>
          <w:tcPr>
            <w:tcW w:w="415"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415"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2802"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1159"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1268" w:type="dxa"/>
            <w:tcBorders>
              <w:top w:val="nil"/>
              <w:left w:val="nil"/>
              <w:bottom w:val="nil"/>
              <w:right w:val="nil"/>
            </w:tcBorders>
            <w:shd w:val="clear" w:color="auto" w:fill="auto"/>
            <w:noWrap/>
            <w:vAlign w:val="bottom"/>
          </w:tcPr>
          <w:p>
            <w:pPr>
              <w:jc w:val="both"/>
              <w:rPr>
                <w:rFonts w:hint="eastAsia" w:ascii="宋体" w:hAnsi="宋体" w:eastAsia="宋体" w:cs="宋体"/>
                <w:i w:val="0"/>
                <w:iCs w:val="0"/>
                <w:color w:val="000000"/>
                <w:sz w:val="20"/>
                <w:szCs w:val="20"/>
                <w:u w:val="none"/>
              </w:rPr>
            </w:pPr>
          </w:p>
        </w:tc>
        <w:tc>
          <w:tcPr>
            <w:tcW w:w="1955" w:type="dxa"/>
            <w:gridSpan w:val="2"/>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单位：万元</w:t>
            </w:r>
          </w:p>
        </w:tc>
      </w:tr>
      <w:tr>
        <w:tblPrEx>
          <w:tblCellMar>
            <w:top w:w="0" w:type="dxa"/>
            <w:left w:w="108" w:type="dxa"/>
            <w:bottom w:w="0" w:type="dxa"/>
            <w:right w:w="108" w:type="dxa"/>
          </w:tblCellMar>
        </w:tblPrEx>
        <w:trPr>
          <w:trHeight w:val="1110" w:hRule="atLeast"/>
        </w:trPr>
        <w:tc>
          <w:tcPr>
            <w:tcW w:w="1245" w:type="dxa"/>
            <w:gridSpan w:val="3"/>
            <w:tcBorders>
              <w:top w:val="single" w:color="000000" w:sz="8" w:space="0"/>
              <w:left w:val="single" w:color="000000" w:sz="8" w:space="0"/>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科目编码</w:t>
            </w:r>
          </w:p>
        </w:tc>
        <w:tc>
          <w:tcPr>
            <w:tcW w:w="2802" w:type="dxa"/>
            <w:tcBorders>
              <w:top w:val="single" w:color="000000" w:sz="8" w:space="0"/>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科目名称</w:t>
            </w:r>
          </w:p>
        </w:tc>
        <w:tc>
          <w:tcPr>
            <w:tcW w:w="1159"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本年支出合计</w:t>
            </w:r>
          </w:p>
        </w:tc>
        <w:tc>
          <w:tcPr>
            <w:tcW w:w="1268"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一般公共预算拨款支出</w:t>
            </w:r>
          </w:p>
        </w:tc>
        <w:tc>
          <w:tcPr>
            <w:tcW w:w="791" w:type="dxa"/>
            <w:tcBorders>
              <w:top w:val="nil"/>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基金支出</w:t>
            </w:r>
          </w:p>
        </w:tc>
        <w:tc>
          <w:tcPr>
            <w:tcW w:w="1164" w:type="dxa"/>
            <w:tcBorders>
              <w:top w:val="nil"/>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其他支出</w:t>
            </w:r>
          </w:p>
        </w:tc>
      </w:tr>
      <w:tr>
        <w:tblPrEx>
          <w:tblCellMar>
            <w:top w:w="0" w:type="dxa"/>
            <w:left w:w="108" w:type="dxa"/>
            <w:bottom w:w="0" w:type="dxa"/>
            <w:right w:w="108" w:type="dxa"/>
          </w:tblCellMar>
        </w:tblPrEx>
        <w:trPr>
          <w:trHeight w:val="285" w:hRule="atLeast"/>
        </w:trPr>
        <w:tc>
          <w:tcPr>
            <w:tcW w:w="415" w:type="dxa"/>
            <w:tcBorders>
              <w:top w:val="nil"/>
              <w:left w:val="single" w:color="000000" w:sz="8" w:space="0"/>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类</w:t>
            </w:r>
          </w:p>
        </w:tc>
        <w:tc>
          <w:tcPr>
            <w:tcW w:w="415"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款</w:t>
            </w:r>
          </w:p>
        </w:tc>
        <w:tc>
          <w:tcPr>
            <w:tcW w:w="415"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2802"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栏次</w:t>
            </w:r>
          </w:p>
        </w:tc>
        <w:tc>
          <w:tcPr>
            <w:tcW w:w="1159" w:type="dxa"/>
            <w:tcBorders>
              <w:top w:val="nil"/>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68"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91"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164" w:type="dxa"/>
            <w:tcBorders>
              <w:top w:val="single" w:color="000000" w:sz="8" w:space="0"/>
              <w:left w:val="nil"/>
              <w:bottom w:val="single" w:color="000000" w:sz="8" w:space="0"/>
              <w:right w:val="single" w:color="000000" w:sz="8"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r>
      <w:tr>
        <w:tblPrEx>
          <w:tblCellMar>
            <w:top w:w="0" w:type="dxa"/>
            <w:left w:w="108" w:type="dxa"/>
            <w:bottom w:w="0" w:type="dxa"/>
            <w:right w:w="108" w:type="dxa"/>
          </w:tblCellMar>
        </w:tblPrEx>
        <w:trPr>
          <w:trHeight w:val="285" w:hRule="atLeast"/>
        </w:trPr>
        <w:tc>
          <w:tcPr>
            <w:tcW w:w="415" w:type="dxa"/>
            <w:tcBorders>
              <w:top w:val="nil"/>
              <w:left w:val="single" w:color="000000" w:sz="8" w:space="0"/>
              <w:bottom w:val="single" w:color="000000" w:sz="8" w:space="0"/>
              <w:right w:val="single" w:color="000000" w:sz="8" w:space="0"/>
            </w:tcBorders>
            <w:shd w:val="clear" w:color="auto" w:fill="C0C0C0"/>
            <w:noWrap/>
            <w:vAlign w:val="bottom"/>
          </w:tcPr>
          <w:p>
            <w:pPr>
              <w:jc w:val="center"/>
              <w:rPr>
                <w:rFonts w:hint="eastAsia" w:ascii="宋体" w:hAnsi="宋体" w:eastAsia="宋体" w:cs="宋体"/>
                <w:i w:val="0"/>
                <w:iCs w:val="0"/>
                <w:color w:val="000000"/>
                <w:sz w:val="22"/>
                <w:szCs w:val="22"/>
                <w:u w:val="none"/>
              </w:rPr>
            </w:pPr>
          </w:p>
        </w:tc>
        <w:tc>
          <w:tcPr>
            <w:tcW w:w="415" w:type="dxa"/>
            <w:tcBorders>
              <w:top w:val="nil"/>
              <w:left w:val="nil"/>
              <w:bottom w:val="single" w:color="000000" w:sz="8" w:space="0"/>
              <w:right w:val="single" w:color="000000" w:sz="8" w:space="0"/>
            </w:tcBorders>
            <w:shd w:val="clear" w:color="auto" w:fill="C0C0C0"/>
            <w:noWrap/>
            <w:vAlign w:val="bottom"/>
          </w:tcPr>
          <w:p>
            <w:pPr>
              <w:jc w:val="center"/>
              <w:rPr>
                <w:rFonts w:hint="eastAsia" w:ascii="宋体" w:hAnsi="宋体" w:eastAsia="宋体" w:cs="宋体"/>
                <w:i w:val="0"/>
                <w:iCs w:val="0"/>
                <w:color w:val="000000"/>
                <w:sz w:val="22"/>
                <w:szCs w:val="22"/>
                <w:u w:val="none"/>
              </w:rPr>
            </w:pPr>
          </w:p>
        </w:tc>
        <w:tc>
          <w:tcPr>
            <w:tcW w:w="415" w:type="dxa"/>
            <w:tcBorders>
              <w:top w:val="nil"/>
              <w:left w:val="nil"/>
              <w:bottom w:val="single" w:color="000000" w:sz="8" w:space="0"/>
              <w:right w:val="single" w:color="000000" w:sz="8" w:space="0"/>
            </w:tcBorders>
            <w:shd w:val="clear" w:color="auto" w:fill="C0C0C0"/>
            <w:noWrap/>
            <w:vAlign w:val="bottom"/>
          </w:tcPr>
          <w:p>
            <w:pPr>
              <w:jc w:val="center"/>
              <w:rPr>
                <w:rFonts w:hint="eastAsia" w:ascii="宋体" w:hAnsi="宋体" w:eastAsia="宋体" w:cs="宋体"/>
                <w:i w:val="0"/>
                <w:iCs w:val="0"/>
                <w:color w:val="000000"/>
                <w:sz w:val="22"/>
                <w:szCs w:val="22"/>
                <w:u w:val="none"/>
              </w:rPr>
            </w:pPr>
          </w:p>
        </w:tc>
        <w:tc>
          <w:tcPr>
            <w:tcW w:w="2802" w:type="dxa"/>
            <w:tcBorders>
              <w:top w:val="nil"/>
              <w:left w:val="nil"/>
              <w:bottom w:val="single" w:color="000000" w:sz="8" w:space="0"/>
              <w:right w:val="single" w:color="000000" w:sz="8"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1159"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93349.2</w:t>
            </w:r>
          </w:p>
        </w:tc>
        <w:tc>
          <w:tcPr>
            <w:tcW w:w="1268"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40,949.20</w:t>
            </w:r>
          </w:p>
        </w:tc>
        <w:tc>
          <w:tcPr>
            <w:tcW w:w="791"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一般公共服务支出</w:t>
            </w:r>
          </w:p>
        </w:tc>
        <w:tc>
          <w:tcPr>
            <w:tcW w:w="1159"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4,086.00</w:t>
            </w:r>
          </w:p>
        </w:tc>
        <w:tc>
          <w:tcPr>
            <w:tcW w:w="1268"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4,086.00</w:t>
            </w:r>
          </w:p>
        </w:tc>
        <w:tc>
          <w:tcPr>
            <w:tcW w:w="791"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center"/>
              <w:rPr>
                <w:rFonts w:hint="default" w:ascii="宋体" w:hAnsi="宋体" w:eastAsia="宋体" w:cs="宋体"/>
                <w:b/>
                <w:bCs/>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政府办公厅（室）及相关机构事务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1784.69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1784.69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675.45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675.45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2010308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信访事务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其他政府办公厅（室）及相关机构事务支出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1004.14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1004.14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发展与改革事务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2010499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其他发展与改革事务支出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20106</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财政事务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2010699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其他财政事务支出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20107</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税收事务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2010799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其他税收事务支出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纪检监察事务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其他纪检监察事务支出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商贸事务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2011308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招商引资</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其他党委办公厅（室）及相关机构事务支出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1236.94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1236.94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市场监督管理事务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2013899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其他市场监督管理事务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公共安全支出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20402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公安</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2040299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其他公安支出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20509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教育费附加安排的支出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2050999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其他教育费附加安排的支出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社会保障和就业支出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人力资源和社会保障管理事务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其他人力资源和社会保障管理事务支出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卫生健康支出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21007</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计划生育事务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2100799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其他计划生育事务支出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节能环保支出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2162</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2162</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环境保护管理事务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其他环境保护管理事务支出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污染防治</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2110302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水体</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其他污染防治支出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其他城乡社区管理事务支出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78635.35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26235.35</w:t>
            </w:r>
          </w:p>
        </w:tc>
        <w:tc>
          <w:tcPr>
            <w:tcW w:w="791"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城乡社区公共设施</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78635.35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26235.35</w:t>
            </w:r>
          </w:p>
        </w:tc>
        <w:tc>
          <w:tcPr>
            <w:tcW w:w="791"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小城镇基础设施建设</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其他城乡社区公共设施支出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77135.35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24735.35</w:t>
            </w:r>
          </w:p>
        </w:tc>
        <w:tc>
          <w:tcPr>
            <w:tcW w:w="791"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2400</w:t>
            </w:r>
          </w:p>
        </w:tc>
        <w:tc>
          <w:tcPr>
            <w:tcW w:w="1164"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50000</w:t>
            </w: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21205</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城乡社区环境卫生</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2120501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城乡社区环境卫生</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农林水支出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农业</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其他农业支出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21303</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水利</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2130399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其他水利支出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交通运输支出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公路水路运输</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其他公路水路运输支出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自然资源海洋气象等支出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22001</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自然资源事务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2200199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其他自然资源事务支出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灾害防治及应急管理支出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22402</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消防事务</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2240299</w:t>
            </w:r>
          </w:p>
        </w:tc>
        <w:tc>
          <w:tcPr>
            <w:tcW w:w="2802" w:type="dxa"/>
            <w:tcBorders>
              <w:top w:val="nil"/>
              <w:left w:val="nil"/>
              <w:bottom w:val="single" w:color="000000" w:sz="8" w:space="0"/>
              <w:right w:val="single" w:color="000000" w:sz="8"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其他消防事务支出</w:t>
            </w:r>
          </w:p>
        </w:tc>
        <w:tc>
          <w:tcPr>
            <w:tcW w:w="1159"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268" w:type="dxa"/>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791"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300" w:hRule="atLeast"/>
        </w:trPr>
        <w:tc>
          <w:tcPr>
            <w:tcW w:w="1245" w:type="dxa"/>
            <w:gridSpan w:val="3"/>
            <w:tcBorders>
              <w:top w:val="nil"/>
              <w:left w:val="single" w:color="000000" w:sz="8" w:space="0"/>
              <w:bottom w:val="single" w:color="000000" w:sz="8" w:space="0"/>
              <w:right w:val="single" w:color="000000" w:sz="8"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2802" w:type="dxa"/>
            <w:tcBorders>
              <w:top w:val="nil"/>
              <w:left w:val="nil"/>
              <w:bottom w:val="single" w:color="000000" w:sz="8" w:space="0"/>
              <w:right w:val="single" w:color="000000" w:sz="8"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159"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1268"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c>
          <w:tcPr>
            <w:tcW w:w="791" w:type="dxa"/>
            <w:tcBorders>
              <w:top w:val="nil"/>
              <w:left w:val="nil"/>
              <w:bottom w:val="single" w:color="000000" w:sz="8" w:space="0"/>
              <w:right w:val="single" w:color="000000" w:sz="8" w:space="0"/>
            </w:tcBorders>
            <w:shd w:val="clear" w:color="auto" w:fill="auto"/>
            <w:noWrap/>
            <w:vAlign w:val="bottom"/>
          </w:tcPr>
          <w:p>
            <w:pPr>
              <w:rPr>
                <w:rFonts w:hint="default" w:ascii="Arial" w:hAnsi="Arial" w:cs="Arial"/>
                <w:i w:val="0"/>
                <w:iCs w:val="0"/>
                <w:color w:val="000000"/>
                <w:sz w:val="20"/>
                <w:szCs w:val="20"/>
                <w:u w:val="none"/>
              </w:rPr>
            </w:pPr>
          </w:p>
        </w:tc>
        <w:tc>
          <w:tcPr>
            <w:tcW w:w="1164" w:type="dxa"/>
            <w:tcBorders>
              <w:top w:val="nil"/>
              <w:left w:val="nil"/>
              <w:bottom w:val="single" w:color="000000" w:sz="8" w:space="0"/>
              <w:right w:val="single" w:color="000000" w:sz="8" w:space="0"/>
            </w:tcBorders>
            <w:shd w:val="clear" w:color="auto" w:fill="auto"/>
            <w:noWrap/>
            <w:vAlign w:val="bottom"/>
          </w:tcPr>
          <w:p>
            <w:pPr>
              <w:jc w:val="center"/>
              <w:rPr>
                <w:rFonts w:hint="default" w:ascii="Arial" w:hAnsi="Arial" w:cs="Arial"/>
                <w:i w:val="0"/>
                <w:iCs w:val="0"/>
                <w:color w:val="000000"/>
                <w:sz w:val="20"/>
                <w:szCs w:val="20"/>
                <w:u w:val="none"/>
              </w:rPr>
            </w:pPr>
          </w:p>
        </w:tc>
      </w:tr>
    </w:tbl>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p>
    <w:p>
      <w:pPr>
        <w:rPr>
          <w:rFonts w:hint="eastAsia" w:ascii="黑体" w:hAnsi="黑体" w:eastAsia="黑体"/>
          <w:szCs w:val="32"/>
        </w:rPr>
      </w:pPr>
    </w:p>
    <w:tbl>
      <w:tblPr>
        <w:tblStyle w:val="5"/>
        <w:tblW w:w="89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830"/>
        <w:gridCol w:w="832"/>
        <w:gridCol w:w="1704"/>
        <w:gridCol w:w="2073"/>
        <w:gridCol w:w="886"/>
        <w:gridCol w:w="16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8962" w:type="dxa"/>
            <w:gridSpan w:val="6"/>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华文中宋" w:hAnsi="华文中宋" w:eastAsia="华文中宋" w:cs="宋体"/>
                <w:b/>
                <w:bCs/>
                <w:kern w:val="0"/>
                <w:sz w:val="36"/>
                <w:szCs w:val="36"/>
                <w:lang w:eastAsia="zh-CN"/>
              </w:rPr>
              <w:t>财政拨款</w:t>
            </w:r>
            <w:r>
              <w:rPr>
                <w:rFonts w:hint="eastAsia" w:ascii="华文中宋" w:hAnsi="华文中宋" w:eastAsia="华文中宋" w:cs="宋体"/>
                <w:b/>
                <w:bCs/>
                <w:kern w:val="0"/>
                <w:sz w:val="36"/>
                <w:szCs w:val="36"/>
              </w:rPr>
              <w:t>收支</w:t>
            </w:r>
            <w:r>
              <w:rPr>
                <w:rFonts w:hint="eastAsia" w:ascii="华文中宋" w:hAnsi="华文中宋" w:eastAsia="华文中宋" w:cs="宋体"/>
                <w:b/>
                <w:bCs/>
                <w:kern w:val="0"/>
                <w:sz w:val="36"/>
                <w:szCs w:val="36"/>
                <w:lang w:eastAsia="zh-CN"/>
              </w:rPr>
              <w:t>预算</w:t>
            </w:r>
            <w:r>
              <w:rPr>
                <w:rFonts w:hint="eastAsia" w:ascii="华文中宋" w:hAnsi="华文中宋" w:eastAsia="华文中宋" w:cs="宋体"/>
                <w:b/>
                <w:bCs/>
                <w:kern w:val="0"/>
                <w:sz w:val="36"/>
                <w:szCs w:val="36"/>
              </w:rPr>
              <w:t>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6439" w:type="dxa"/>
            <w:gridSpan w:val="4"/>
            <w:shd w:val="clear" w:color="auto" w:fill="auto"/>
            <w:vAlign w:val="bottom"/>
          </w:tcPr>
          <w:p>
            <w:pPr>
              <w:jc w:val="left"/>
              <w:rPr>
                <w:rFonts w:hint="eastAsia" w:ascii="Arial" w:hAnsi="Arial" w:cs="Arial"/>
                <w:i w:val="0"/>
                <w:color w:val="000000"/>
                <w:sz w:val="20"/>
                <w:szCs w:val="20"/>
                <w:u w:val="none"/>
              </w:rPr>
            </w:pPr>
          </w:p>
        </w:tc>
        <w:tc>
          <w:tcPr>
            <w:tcW w:w="886" w:type="dxa"/>
            <w:shd w:val="clear" w:color="auto" w:fill="auto"/>
            <w:vAlign w:val="bottom"/>
          </w:tcPr>
          <w:p>
            <w:pPr>
              <w:rPr>
                <w:rFonts w:hint="default" w:ascii="Arial" w:hAnsi="Arial" w:cs="Arial"/>
                <w:i w:val="0"/>
                <w:color w:val="000000"/>
                <w:sz w:val="20"/>
                <w:szCs w:val="20"/>
                <w:u w:val="none"/>
              </w:rPr>
            </w:pPr>
          </w:p>
        </w:tc>
        <w:tc>
          <w:tcPr>
            <w:tcW w:w="1637"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6439" w:type="dxa"/>
            <w:gridSpan w:val="4"/>
            <w:shd w:val="clear" w:color="auto" w:fill="auto"/>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p>
        </w:tc>
        <w:tc>
          <w:tcPr>
            <w:tcW w:w="886" w:type="dxa"/>
            <w:shd w:val="clear" w:color="auto" w:fill="auto"/>
            <w:vAlign w:val="bottom"/>
          </w:tcPr>
          <w:p>
            <w:pPr>
              <w:rPr>
                <w:rFonts w:hint="default" w:ascii="Arial" w:hAnsi="Arial" w:cs="Arial"/>
                <w:i w:val="0"/>
                <w:color w:val="000000"/>
                <w:sz w:val="20"/>
                <w:szCs w:val="20"/>
                <w:u w:val="none"/>
              </w:rPr>
            </w:pPr>
          </w:p>
        </w:tc>
        <w:tc>
          <w:tcPr>
            <w:tcW w:w="1637"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4366" w:type="dxa"/>
            <w:gridSpan w:val="3"/>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收入</w:t>
            </w:r>
          </w:p>
        </w:tc>
        <w:tc>
          <w:tcPr>
            <w:tcW w:w="4596" w:type="dxa"/>
            <w:gridSpan w:val="3"/>
            <w:tcBorders>
              <w:top w:val="single" w:color="000000" w:sz="4" w:space="0"/>
              <w:bottom w:val="single" w:color="000000" w:sz="4" w:space="0"/>
              <w:right w:val="single" w:color="000000" w:sz="12"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704"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637" w:type="dxa"/>
            <w:tcBorders>
              <w:bottom w:val="single" w:color="000000" w:sz="4" w:space="0"/>
              <w:right w:val="single" w:color="000000" w:sz="12"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32"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704"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预算数</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栏次</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p>
        </w:tc>
        <w:tc>
          <w:tcPr>
            <w:tcW w:w="1637" w:type="dxa"/>
            <w:tcBorders>
              <w:bottom w:val="single" w:color="000000" w:sz="4" w:space="0"/>
              <w:right w:val="single" w:color="000000" w:sz="12"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一般公共预算拨款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40949.20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4086.00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2400.00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三、上级补助收入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四、事业收入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1069.50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五、经营收入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六、附属单位上缴收入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七、其他收入</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41</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85.57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113.70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2162.00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31461.04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1825.07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27.85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十四、资源勘探信息等支出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48</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49.39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53</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二十一、灾害防治及应急管理支出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369.08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0"/>
                <w:szCs w:val="20"/>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二十二、其他支出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56</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0"/>
                <w:szCs w:val="20"/>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二十三、债务还本支出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57</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b/>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二十四、债务付息支出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58</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二十五、其他支出</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59</w:t>
            </w:r>
          </w:p>
        </w:tc>
        <w:tc>
          <w:tcPr>
            <w:tcW w:w="1637" w:type="dxa"/>
            <w:tcBorders>
              <w:bottom w:val="single" w:color="000000" w:sz="4" w:space="0"/>
              <w:right w:val="single" w:color="000000" w:sz="12" w:space="0"/>
            </w:tcBorders>
            <w:shd w:val="clear" w:color="auto" w:fill="auto"/>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60</w:t>
            </w:r>
          </w:p>
        </w:tc>
        <w:tc>
          <w:tcPr>
            <w:tcW w:w="1637" w:type="dxa"/>
            <w:tcBorders>
              <w:bottom w:val="single" w:color="000000" w:sz="4" w:space="0"/>
              <w:right w:val="single" w:color="000000" w:sz="12"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43349.2</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61</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43349.2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用事业基金弥补收支差额</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结余分配</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62</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w:t>
            </w:r>
          </w:p>
        </w:tc>
        <w:tc>
          <w:tcPr>
            <w:tcW w:w="1704"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073"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63</w:t>
            </w:r>
          </w:p>
        </w:tc>
        <w:tc>
          <w:tcPr>
            <w:tcW w:w="1637" w:type="dxa"/>
            <w:tcBorders>
              <w:bottom w:val="single" w:color="000000" w:sz="4" w:space="0"/>
              <w:right w:val="single" w:color="000000" w:sz="12" w:space="0"/>
            </w:tcBorders>
            <w:shd w:val="clear" w:color="auto" w:fill="auto"/>
            <w:vAlign w:val="center"/>
          </w:tcPr>
          <w:p>
            <w:pPr>
              <w:keepNext w:val="0"/>
              <w:keepLines w:val="0"/>
              <w:widowControl/>
              <w:suppressLineNumbers w:val="0"/>
              <w:jc w:val="righ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3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w:t>
            </w:r>
          </w:p>
        </w:tc>
        <w:tc>
          <w:tcPr>
            <w:tcW w:w="1704"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073"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8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64</w:t>
            </w:r>
          </w:p>
        </w:tc>
        <w:tc>
          <w:tcPr>
            <w:tcW w:w="1637" w:type="dxa"/>
            <w:tcBorders>
              <w:bottom w:val="single" w:color="000000" w:sz="4" w:space="0"/>
              <w:right w:val="single" w:color="000000" w:sz="12" w:space="0"/>
            </w:tcBorders>
            <w:shd w:val="clear" w:color="auto" w:fill="auto"/>
            <w:vAlign w:val="center"/>
          </w:tcPr>
          <w:p>
            <w:pPr>
              <w:jc w:val="lef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1830" w:type="dxa"/>
            <w:tcBorders>
              <w:left w:val="single" w:color="000000" w:sz="4" w:space="0"/>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832" w:type="dxa"/>
            <w:tcBorders>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w:t>
            </w:r>
          </w:p>
        </w:tc>
        <w:tc>
          <w:tcPr>
            <w:tcW w:w="1704" w:type="dxa"/>
            <w:tcBorders>
              <w:bottom w:val="single" w:color="000000" w:sz="12"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43349.2</w:t>
            </w:r>
          </w:p>
        </w:tc>
        <w:tc>
          <w:tcPr>
            <w:tcW w:w="2073" w:type="dxa"/>
            <w:tcBorders>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886" w:type="dxa"/>
            <w:tcBorders>
              <w:bottom w:val="single" w:color="000000" w:sz="12"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65</w:t>
            </w:r>
          </w:p>
        </w:tc>
        <w:tc>
          <w:tcPr>
            <w:tcW w:w="1637" w:type="dxa"/>
            <w:tcBorders>
              <w:bottom w:val="single" w:color="000000" w:sz="12" w:space="0"/>
              <w:right w:val="single" w:color="000000" w:sz="12"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43349.2</w:t>
            </w:r>
          </w:p>
        </w:tc>
      </w:tr>
    </w:tbl>
    <w:p>
      <w:pPr>
        <w:ind w:firstLine="640" w:firstLineChars="200"/>
        <w:rPr>
          <w:rFonts w:hint="eastAsia" w:ascii="黑体" w:hAnsi="黑体" w:eastAsia="黑体"/>
          <w:szCs w:val="32"/>
        </w:rPr>
      </w:pPr>
    </w:p>
    <w:tbl>
      <w:tblPr>
        <w:tblStyle w:val="5"/>
        <w:tblW w:w="10313" w:type="dxa"/>
        <w:tblInd w:w="93" w:type="dxa"/>
        <w:shd w:val="clear" w:color="auto" w:fill="auto"/>
        <w:tblLayout w:type="fixed"/>
        <w:tblCellMar>
          <w:top w:w="0" w:type="dxa"/>
          <w:left w:w="108" w:type="dxa"/>
          <w:bottom w:w="0" w:type="dxa"/>
          <w:right w:w="108" w:type="dxa"/>
        </w:tblCellMar>
      </w:tblPr>
      <w:tblGrid>
        <w:gridCol w:w="436"/>
        <w:gridCol w:w="436"/>
        <w:gridCol w:w="436"/>
        <w:gridCol w:w="3656"/>
        <w:gridCol w:w="1965"/>
        <w:gridCol w:w="1110"/>
        <w:gridCol w:w="2274"/>
      </w:tblGrid>
      <w:tr>
        <w:tblPrEx>
          <w:shd w:val="clear" w:color="auto" w:fill="auto"/>
          <w:tblCellMar>
            <w:top w:w="0" w:type="dxa"/>
            <w:left w:w="108" w:type="dxa"/>
            <w:bottom w:w="0" w:type="dxa"/>
            <w:right w:w="108" w:type="dxa"/>
          </w:tblCellMar>
        </w:tblPrEx>
        <w:trPr>
          <w:trHeight w:val="465" w:hRule="atLeast"/>
        </w:trPr>
        <w:tc>
          <w:tcPr>
            <w:tcW w:w="10313" w:type="dxa"/>
            <w:gridSpan w:val="7"/>
            <w:tcBorders>
              <w:top w:val="nil"/>
              <w:left w:val="nil"/>
              <w:bottom w:val="nil"/>
              <w:right w:val="nil"/>
            </w:tcBorders>
            <w:shd w:val="clear" w:color="auto" w:fill="auto"/>
            <w:noWrap/>
            <w:vAlign w:val="bottom"/>
          </w:tcPr>
          <w:p>
            <w:pPr>
              <w:keepNext w:val="0"/>
              <w:keepLines w:val="0"/>
              <w:widowControl/>
              <w:suppressLineNumbers w:val="0"/>
              <w:jc w:val="center"/>
              <w:textAlignment w:val="bottom"/>
              <w:rPr>
                <w:rFonts w:ascii="华文中宋" w:hAnsi="华文中宋" w:eastAsia="华文中宋" w:cs="华文中宋"/>
                <w:b/>
                <w:bCs/>
                <w:i w:val="0"/>
                <w:iCs w:val="0"/>
                <w:color w:val="000000"/>
                <w:sz w:val="36"/>
                <w:szCs w:val="36"/>
                <w:u w:val="none"/>
              </w:rPr>
            </w:pPr>
            <w:r>
              <w:rPr>
                <w:rFonts w:hint="default" w:ascii="华文中宋" w:hAnsi="华文中宋" w:eastAsia="华文中宋" w:cs="华文中宋"/>
                <w:b/>
                <w:bCs/>
                <w:i w:val="0"/>
                <w:iCs w:val="0"/>
                <w:color w:val="000000"/>
                <w:kern w:val="0"/>
                <w:sz w:val="36"/>
                <w:szCs w:val="36"/>
                <w:u w:val="none"/>
                <w:lang w:val="en-US" w:eastAsia="zh-CN" w:bidi="ar"/>
              </w:rPr>
              <w:t>一般公共预算</w:t>
            </w:r>
            <w:r>
              <w:rPr>
                <w:rFonts w:hint="eastAsia" w:ascii="华文中宋" w:hAnsi="华文中宋" w:eastAsia="华文中宋" w:cs="华文中宋"/>
                <w:b/>
                <w:bCs/>
                <w:i w:val="0"/>
                <w:iCs w:val="0"/>
                <w:color w:val="000000"/>
                <w:kern w:val="0"/>
                <w:sz w:val="36"/>
                <w:szCs w:val="36"/>
                <w:u w:val="none"/>
                <w:lang w:val="en-US" w:eastAsia="zh-CN" w:bidi="ar"/>
              </w:rPr>
              <w:t>财政拨款</w:t>
            </w:r>
            <w:r>
              <w:rPr>
                <w:rFonts w:hint="default" w:ascii="华文中宋" w:hAnsi="华文中宋" w:eastAsia="华文中宋" w:cs="华文中宋"/>
                <w:b/>
                <w:bCs/>
                <w:i w:val="0"/>
                <w:iCs w:val="0"/>
                <w:color w:val="000000"/>
                <w:kern w:val="0"/>
                <w:sz w:val="36"/>
                <w:szCs w:val="36"/>
                <w:u w:val="none"/>
                <w:lang w:val="en-US" w:eastAsia="zh-CN" w:bidi="ar"/>
              </w:rPr>
              <w:t>支出</w:t>
            </w:r>
            <w:r>
              <w:rPr>
                <w:rFonts w:hint="eastAsia" w:ascii="华文中宋" w:hAnsi="华文中宋" w:eastAsia="华文中宋" w:cs="华文中宋"/>
                <w:b/>
                <w:bCs/>
                <w:i w:val="0"/>
                <w:iCs w:val="0"/>
                <w:color w:val="000000"/>
                <w:kern w:val="0"/>
                <w:sz w:val="36"/>
                <w:szCs w:val="36"/>
                <w:u w:val="none"/>
                <w:lang w:val="en-US" w:eastAsia="zh-CN" w:bidi="ar"/>
              </w:rPr>
              <w:t>预算</w:t>
            </w:r>
            <w:r>
              <w:rPr>
                <w:rFonts w:hint="default" w:ascii="华文中宋" w:hAnsi="华文中宋" w:eastAsia="华文中宋" w:cs="华文中宋"/>
                <w:b/>
                <w:bCs/>
                <w:i w:val="0"/>
                <w:iCs w:val="0"/>
                <w:color w:val="000000"/>
                <w:kern w:val="0"/>
                <w:sz w:val="36"/>
                <w:szCs w:val="36"/>
                <w:u w:val="none"/>
                <w:lang w:val="en-US" w:eastAsia="zh-CN" w:bidi="ar"/>
              </w:rPr>
              <w:t>表</w:t>
            </w:r>
          </w:p>
        </w:tc>
      </w:tr>
      <w:tr>
        <w:tblPrEx>
          <w:tblCellMar>
            <w:top w:w="0" w:type="dxa"/>
            <w:left w:w="108" w:type="dxa"/>
            <w:bottom w:w="0" w:type="dxa"/>
            <w:right w:w="108" w:type="dxa"/>
          </w:tblCellMar>
        </w:tblPrEx>
        <w:trPr>
          <w:trHeight w:val="255" w:hRule="atLeast"/>
        </w:trPr>
        <w:tc>
          <w:tcPr>
            <w:tcW w:w="436" w:type="dxa"/>
            <w:tcBorders>
              <w:top w:val="nil"/>
              <w:left w:val="nil"/>
              <w:bottom w:val="nil"/>
              <w:right w:val="nil"/>
            </w:tcBorders>
            <w:shd w:val="clear" w:color="auto" w:fill="auto"/>
            <w:noWrap/>
            <w:vAlign w:val="bottom"/>
          </w:tcPr>
          <w:p>
            <w:pPr>
              <w:jc w:val="both"/>
              <w:rPr>
                <w:rFonts w:hint="eastAsia" w:ascii="仿宋_GB2312" w:hAnsi="Arial" w:eastAsia="仿宋_GB2312" w:cs="仿宋_GB2312"/>
                <w:i w:val="0"/>
                <w:iCs w:val="0"/>
                <w:color w:val="000000"/>
                <w:sz w:val="20"/>
                <w:szCs w:val="20"/>
                <w:u w:val="none"/>
              </w:rPr>
            </w:pPr>
          </w:p>
        </w:tc>
        <w:tc>
          <w:tcPr>
            <w:tcW w:w="436"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436"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3656"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965"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1110" w:type="dxa"/>
            <w:tcBorders>
              <w:top w:val="nil"/>
              <w:left w:val="nil"/>
              <w:bottom w:val="nil"/>
              <w:right w:val="nil"/>
            </w:tcBorders>
            <w:shd w:val="clear" w:color="auto" w:fill="auto"/>
            <w:noWrap/>
            <w:vAlign w:val="bottom"/>
          </w:tcPr>
          <w:p>
            <w:pPr>
              <w:jc w:val="both"/>
              <w:rPr>
                <w:rFonts w:hint="default" w:ascii="Arial" w:hAnsi="Arial" w:cs="Arial"/>
                <w:i w:val="0"/>
                <w:iCs w:val="0"/>
                <w:color w:val="000000"/>
                <w:sz w:val="20"/>
                <w:szCs w:val="20"/>
                <w:u w:val="none"/>
              </w:rPr>
            </w:pPr>
          </w:p>
        </w:tc>
        <w:tc>
          <w:tcPr>
            <w:tcW w:w="2274" w:type="dxa"/>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公开05表</w:t>
            </w:r>
          </w:p>
        </w:tc>
      </w:tr>
      <w:tr>
        <w:tblPrEx>
          <w:tblCellMar>
            <w:top w:w="0" w:type="dxa"/>
            <w:left w:w="108" w:type="dxa"/>
            <w:bottom w:w="0" w:type="dxa"/>
            <w:right w:w="108" w:type="dxa"/>
          </w:tblCellMar>
        </w:tblPrEx>
        <w:trPr>
          <w:trHeight w:val="255" w:hRule="atLeast"/>
        </w:trPr>
        <w:tc>
          <w:tcPr>
            <w:tcW w:w="436" w:type="dxa"/>
            <w:tcBorders>
              <w:top w:val="nil"/>
              <w:left w:val="nil"/>
              <w:bottom w:val="nil"/>
              <w:right w:val="nil"/>
            </w:tcBorders>
            <w:shd w:val="clear" w:color="auto" w:fill="auto"/>
            <w:noWrap/>
            <w:vAlign w:val="bottom"/>
          </w:tcPr>
          <w:p>
            <w:pPr>
              <w:rPr>
                <w:rFonts w:hint="eastAsia" w:ascii="宋体" w:hAnsi="宋体" w:eastAsia="宋体" w:cs="宋体"/>
                <w:i w:val="0"/>
                <w:iCs w:val="0"/>
                <w:color w:val="000000"/>
                <w:sz w:val="20"/>
                <w:szCs w:val="20"/>
                <w:u w:val="none"/>
              </w:rPr>
            </w:pPr>
          </w:p>
        </w:tc>
        <w:tc>
          <w:tcPr>
            <w:tcW w:w="436" w:type="dxa"/>
            <w:tcBorders>
              <w:top w:val="nil"/>
              <w:left w:val="nil"/>
              <w:bottom w:val="nil"/>
              <w:right w:val="nil"/>
            </w:tcBorders>
            <w:shd w:val="clear" w:color="auto" w:fill="auto"/>
            <w:noWrap/>
            <w:vAlign w:val="bottom"/>
          </w:tcPr>
          <w:p>
            <w:pPr>
              <w:rPr>
                <w:rFonts w:hint="eastAsia" w:ascii="宋体" w:hAnsi="宋体" w:eastAsia="宋体" w:cs="宋体"/>
                <w:i w:val="0"/>
                <w:iCs w:val="0"/>
                <w:color w:val="000000"/>
                <w:sz w:val="20"/>
                <w:szCs w:val="20"/>
                <w:u w:val="none"/>
              </w:rPr>
            </w:pPr>
          </w:p>
        </w:tc>
        <w:tc>
          <w:tcPr>
            <w:tcW w:w="436" w:type="dxa"/>
            <w:tcBorders>
              <w:top w:val="nil"/>
              <w:left w:val="nil"/>
              <w:bottom w:val="nil"/>
              <w:right w:val="nil"/>
            </w:tcBorders>
            <w:shd w:val="clear" w:color="auto" w:fill="auto"/>
            <w:noWrap/>
            <w:vAlign w:val="bottom"/>
          </w:tcPr>
          <w:p>
            <w:pPr>
              <w:rPr>
                <w:rFonts w:hint="eastAsia" w:ascii="宋体" w:hAnsi="宋体" w:eastAsia="宋体" w:cs="宋体"/>
                <w:i w:val="0"/>
                <w:iCs w:val="0"/>
                <w:color w:val="000000"/>
                <w:sz w:val="20"/>
                <w:szCs w:val="20"/>
                <w:u w:val="none"/>
              </w:rPr>
            </w:pPr>
          </w:p>
        </w:tc>
        <w:tc>
          <w:tcPr>
            <w:tcW w:w="3656" w:type="dxa"/>
            <w:tcBorders>
              <w:top w:val="nil"/>
              <w:left w:val="nil"/>
              <w:bottom w:val="nil"/>
              <w:right w:val="nil"/>
            </w:tcBorders>
            <w:shd w:val="clear" w:color="auto" w:fill="auto"/>
            <w:noWrap/>
            <w:vAlign w:val="bottom"/>
          </w:tcPr>
          <w:p>
            <w:pPr>
              <w:rPr>
                <w:rFonts w:hint="eastAsia" w:ascii="宋体" w:hAnsi="宋体" w:eastAsia="宋体" w:cs="宋体"/>
                <w:i w:val="0"/>
                <w:iCs w:val="0"/>
                <w:color w:val="000000"/>
                <w:sz w:val="20"/>
                <w:szCs w:val="20"/>
                <w:u w:val="none"/>
              </w:rPr>
            </w:pPr>
          </w:p>
        </w:tc>
        <w:tc>
          <w:tcPr>
            <w:tcW w:w="1965" w:type="dxa"/>
            <w:tcBorders>
              <w:top w:val="nil"/>
              <w:left w:val="nil"/>
              <w:bottom w:val="nil"/>
              <w:right w:val="nil"/>
            </w:tcBorders>
            <w:shd w:val="clear" w:color="auto" w:fill="auto"/>
            <w:noWrap/>
            <w:vAlign w:val="bottom"/>
          </w:tcPr>
          <w:p>
            <w:pPr>
              <w:rPr>
                <w:rFonts w:hint="eastAsia" w:ascii="宋体" w:hAnsi="宋体" w:eastAsia="宋体" w:cs="宋体"/>
                <w:i w:val="0"/>
                <w:iCs w:val="0"/>
                <w:color w:val="000000"/>
                <w:sz w:val="20"/>
                <w:szCs w:val="20"/>
                <w:u w:val="none"/>
              </w:rPr>
            </w:pPr>
          </w:p>
        </w:tc>
        <w:tc>
          <w:tcPr>
            <w:tcW w:w="1110" w:type="dxa"/>
            <w:tcBorders>
              <w:top w:val="nil"/>
              <w:left w:val="nil"/>
              <w:bottom w:val="nil"/>
              <w:right w:val="nil"/>
            </w:tcBorders>
            <w:shd w:val="clear" w:color="auto" w:fill="auto"/>
            <w:noWrap/>
            <w:vAlign w:val="bottom"/>
          </w:tcPr>
          <w:p>
            <w:pPr>
              <w:rPr>
                <w:rFonts w:hint="eastAsia" w:ascii="宋体" w:hAnsi="宋体" w:eastAsia="宋体" w:cs="宋体"/>
                <w:i w:val="0"/>
                <w:iCs w:val="0"/>
                <w:color w:val="000000"/>
                <w:sz w:val="20"/>
                <w:szCs w:val="20"/>
                <w:u w:val="none"/>
              </w:rPr>
            </w:pPr>
          </w:p>
        </w:tc>
        <w:tc>
          <w:tcPr>
            <w:tcW w:w="2274" w:type="dxa"/>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单位：万元</w:t>
            </w:r>
          </w:p>
        </w:tc>
      </w:tr>
      <w:tr>
        <w:tblPrEx>
          <w:tblCellMar>
            <w:top w:w="0" w:type="dxa"/>
            <w:left w:w="108" w:type="dxa"/>
            <w:bottom w:w="0" w:type="dxa"/>
            <w:right w:w="108" w:type="dxa"/>
          </w:tblCellMar>
        </w:tblPrEx>
        <w:trPr>
          <w:trHeight w:val="255" w:hRule="atLeast"/>
        </w:trPr>
        <w:tc>
          <w:tcPr>
            <w:tcW w:w="1308" w:type="dxa"/>
            <w:gridSpan w:val="3"/>
            <w:vMerge w:val="restart"/>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科目编码</w:t>
            </w:r>
          </w:p>
        </w:tc>
        <w:tc>
          <w:tcPr>
            <w:tcW w:w="3656" w:type="dxa"/>
            <w:vMerge w:val="restart"/>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科目名称</w:t>
            </w:r>
          </w:p>
        </w:tc>
        <w:tc>
          <w:tcPr>
            <w:tcW w:w="1965" w:type="dxa"/>
            <w:vMerge w:val="restart"/>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本年支出合计</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基本支出</w:t>
            </w:r>
          </w:p>
        </w:tc>
        <w:tc>
          <w:tcPr>
            <w:tcW w:w="2274" w:type="dxa"/>
            <w:vMerge w:val="restart"/>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项目支出</w:t>
            </w:r>
          </w:p>
        </w:tc>
      </w:tr>
      <w:tr>
        <w:tblPrEx>
          <w:tblCellMar>
            <w:top w:w="0" w:type="dxa"/>
            <w:left w:w="108" w:type="dxa"/>
            <w:bottom w:w="0" w:type="dxa"/>
            <w:right w:w="108" w:type="dxa"/>
          </w:tblCellMar>
        </w:tblPrEx>
        <w:trPr>
          <w:trHeight w:val="255" w:hRule="atLeast"/>
        </w:trPr>
        <w:tc>
          <w:tcPr>
            <w:tcW w:w="1308" w:type="dxa"/>
            <w:gridSpan w:val="3"/>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3656" w:type="dxa"/>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1965"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c>
          <w:tcPr>
            <w:tcW w:w="2274"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255" w:hRule="atLeast"/>
        </w:trPr>
        <w:tc>
          <w:tcPr>
            <w:tcW w:w="1308" w:type="dxa"/>
            <w:gridSpan w:val="3"/>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3656" w:type="dxa"/>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1965"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c>
          <w:tcPr>
            <w:tcW w:w="2274"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255" w:hRule="atLeast"/>
        </w:trPr>
        <w:tc>
          <w:tcPr>
            <w:tcW w:w="1308" w:type="dxa"/>
            <w:gridSpan w:val="3"/>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3656" w:type="dxa"/>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1965"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c>
          <w:tcPr>
            <w:tcW w:w="2274" w:type="dxa"/>
            <w:vMerge w:val="continue"/>
            <w:tcBorders>
              <w:top w:val="single" w:color="000000" w:sz="4" w:space="0"/>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270" w:hRule="atLeast"/>
        </w:trPr>
        <w:tc>
          <w:tcPr>
            <w:tcW w:w="436" w:type="dxa"/>
            <w:vMerge w:val="restart"/>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类</w:t>
            </w:r>
          </w:p>
        </w:tc>
        <w:tc>
          <w:tcPr>
            <w:tcW w:w="436" w:type="dxa"/>
            <w:vMerge w:val="restart"/>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款</w:t>
            </w:r>
          </w:p>
        </w:tc>
        <w:tc>
          <w:tcPr>
            <w:tcW w:w="436" w:type="dxa"/>
            <w:vMerge w:val="restart"/>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3656" w:type="dxa"/>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栏次</w:t>
            </w:r>
          </w:p>
        </w:tc>
        <w:tc>
          <w:tcPr>
            <w:tcW w:w="1965" w:type="dxa"/>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110" w:type="dxa"/>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274" w:type="dxa"/>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r>
      <w:tr>
        <w:tblPrEx>
          <w:tblCellMar>
            <w:top w:w="0" w:type="dxa"/>
            <w:left w:w="108" w:type="dxa"/>
            <w:bottom w:w="0" w:type="dxa"/>
            <w:right w:w="108" w:type="dxa"/>
          </w:tblCellMar>
        </w:tblPrEx>
        <w:trPr>
          <w:trHeight w:val="270" w:hRule="atLeast"/>
        </w:trPr>
        <w:tc>
          <w:tcPr>
            <w:tcW w:w="436" w:type="dxa"/>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436" w:type="dxa"/>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436" w:type="dxa"/>
            <w:vMerge w:val="continue"/>
            <w:tcBorders>
              <w:top w:val="single" w:color="000000" w:sz="4" w:space="0"/>
              <w:left w:val="single" w:color="000000" w:sz="4" w:space="0"/>
              <w:bottom w:val="single" w:color="000000" w:sz="4" w:space="0"/>
              <w:right w:val="single" w:color="000000" w:sz="4" w:space="0"/>
            </w:tcBorders>
            <w:shd w:val="clear" w:color="FFFFFF" w:fill="C0C0C0"/>
            <w:noWrap/>
            <w:vAlign w:val="center"/>
          </w:tcPr>
          <w:p>
            <w:pPr>
              <w:jc w:val="center"/>
              <w:rPr>
                <w:rFonts w:hint="eastAsia" w:ascii="宋体" w:hAnsi="宋体" w:eastAsia="宋体" w:cs="宋体"/>
                <w:i w:val="0"/>
                <w:iCs w:val="0"/>
                <w:color w:val="000000"/>
                <w:sz w:val="22"/>
                <w:szCs w:val="22"/>
                <w:u w:val="none"/>
              </w:rPr>
            </w:pPr>
          </w:p>
        </w:tc>
        <w:tc>
          <w:tcPr>
            <w:tcW w:w="3656" w:type="dxa"/>
            <w:tcBorders>
              <w:top w:val="single" w:color="000000" w:sz="4" w:space="0"/>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40,949.20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rPr>
            </w:pPr>
            <w:r>
              <w:rPr>
                <w:rFonts w:hint="eastAsia" w:ascii="宋体" w:hAnsi="宋体" w:eastAsia="宋体" w:cs="宋体"/>
                <w:b/>
                <w:bCs/>
                <w:i w:val="0"/>
                <w:iCs w:val="0"/>
                <w:color w:val="000000"/>
                <w:kern w:val="0"/>
                <w:sz w:val="22"/>
                <w:szCs w:val="22"/>
                <w:u w:val="none"/>
                <w:lang w:val="en-US" w:eastAsia="zh-CN" w:bidi="ar"/>
              </w:rPr>
              <w:t>7138.35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b/>
                <w:bCs/>
                <w:i w:val="0"/>
                <w:iCs w:val="0"/>
                <w:color w:val="000000"/>
                <w:kern w:val="0"/>
                <w:sz w:val="22"/>
                <w:szCs w:val="22"/>
                <w:u w:val="none"/>
                <w:lang w:val="en-US" w:eastAsia="zh-CN" w:bidi="ar"/>
              </w:rPr>
              <w:t>33810.85</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一般公共服务支出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bottom"/>
              <w:rPr>
                <w:rFonts w:hint="eastAsia"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4,086.00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bottom"/>
              <w:rPr>
                <w:rFonts w:hint="eastAsia"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4,086.00</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政府办公厅（室）及相关机构事务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1784.69</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1784.69</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675.45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675.45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2010308</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信访事务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105.1</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105.1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2010399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其他政府办公厅（室）及相关机构事务支出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1004.14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1004.14</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20104</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发展与改革事务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2010499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其他发展与改革事务支出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147.72</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20106</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财政事务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2010699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其他财政事务支出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3</w:t>
            </w:r>
            <w:r>
              <w:rPr>
                <w:rFonts w:hint="default" w:ascii="Arial" w:hAnsi="Arial" w:eastAsia="宋体" w:cs="Arial"/>
                <w:i w:val="0"/>
                <w:iCs w:val="0"/>
                <w:color w:val="000000"/>
                <w:kern w:val="0"/>
                <w:sz w:val="20"/>
                <w:szCs w:val="20"/>
                <w:u w:val="none"/>
                <w:lang w:val="en-US" w:eastAsia="zh-CN" w:bidi="ar"/>
              </w:rPr>
              <w:t>58.1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20107</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税收事务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2010799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其他税收事务支出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84.2</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纪检监察事务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其他纪检监察事务支出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27.43</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商贸事务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2011308</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招商引资</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414.82</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其他党委办公厅（室）及相关机构事务支出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1236.94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1236.94</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20138</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市场监督管理事务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2013899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其他市场监督管理事务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32.1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公共安全支出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20402</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公安</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2040299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其他公安支出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1069.5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lang w:val="en-US"/>
              </w:rPr>
            </w:pPr>
            <w:r>
              <w:rPr>
                <w:rFonts w:hint="eastAsia" w:ascii="Arial" w:hAnsi="Arial" w:eastAsia="宋体" w:cs="Arial"/>
                <w:i w:val="0"/>
                <w:iCs w:val="0"/>
                <w:color w:val="000000"/>
                <w:kern w:val="0"/>
                <w:sz w:val="20"/>
                <w:szCs w:val="20"/>
                <w:u w:val="none"/>
                <w:lang w:val="en-US" w:eastAsia="zh-CN" w:bidi="ar"/>
              </w:rPr>
              <w:t>295.31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eastAsia="宋体" w:cs="Arial"/>
                <w:i w:val="0"/>
                <w:iCs w:val="0"/>
                <w:color w:val="000000"/>
                <w:sz w:val="20"/>
                <w:szCs w:val="20"/>
                <w:u w:val="none"/>
                <w:lang w:val="en-US" w:eastAsia="zh-CN"/>
              </w:rPr>
            </w:pPr>
            <w:r>
              <w:rPr>
                <w:rFonts w:hint="eastAsia" w:ascii="Arial" w:hAnsi="Arial" w:cs="Arial"/>
                <w:i w:val="0"/>
                <w:iCs w:val="0"/>
                <w:color w:val="000000"/>
                <w:sz w:val="20"/>
                <w:szCs w:val="20"/>
                <w:u w:val="none"/>
                <w:lang w:val="en-US" w:eastAsia="zh-CN"/>
              </w:rPr>
              <w:t>1804.69</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20509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教育费附加安排的支出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295.31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r>
              <w:rPr>
                <w:rFonts w:hint="eastAsia" w:ascii="Arial" w:hAnsi="Arial" w:cs="Arial"/>
                <w:i w:val="0"/>
                <w:iCs w:val="0"/>
                <w:color w:val="000000"/>
                <w:sz w:val="20"/>
                <w:szCs w:val="20"/>
                <w:u w:val="none"/>
                <w:lang w:val="en-US" w:eastAsia="zh-CN"/>
              </w:rPr>
              <w:t>1804.69</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2050999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其他教育费附加安排的支出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2100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295.31</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r>
              <w:rPr>
                <w:rFonts w:hint="eastAsia" w:ascii="Arial" w:hAnsi="Arial" w:cs="Arial"/>
                <w:i w:val="0"/>
                <w:iCs w:val="0"/>
                <w:color w:val="000000"/>
                <w:sz w:val="20"/>
                <w:szCs w:val="20"/>
                <w:u w:val="none"/>
                <w:lang w:val="en-US" w:eastAsia="zh-CN"/>
              </w:rPr>
              <w:t>1804.69</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社会保障和就业支出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85.57</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人力资源和社会保障管理事务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85.57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85.57</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2080199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其他人力资源和社会保障管理事务支出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85.57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85.57</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卫生健康支出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21007</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计划生育事务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9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2100799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其他计划生育事务支出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113.7</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节能环保支出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宋体" w:cs="Arial"/>
                <w:i w:val="0"/>
                <w:iCs w:val="0"/>
                <w:color w:val="000000"/>
                <w:kern w:val="0"/>
                <w:sz w:val="20"/>
                <w:szCs w:val="20"/>
                <w:u w:val="none"/>
                <w:lang w:val="en-US" w:eastAsia="zh-CN" w:bidi="ar"/>
              </w:rPr>
            </w:pPr>
            <w:r>
              <w:rPr>
                <w:rFonts w:hint="eastAsia" w:ascii="Arial" w:hAnsi="Arial" w:eastAsia="宋体" w:cs="Arial"/>
                <w:i w:val="0"/>
                <w:iCs w:val="0"/>
                <w:color w:val="000000"/>
                <w:kern w:val="0"/>
                <w:sz w:val="20"/>
                <w:szCs w:val="20"/>
                <w:u w:val="none"/>
                <w:lang w:val="en-US" w:eastAsia="zh-CN" w:bidi="ar"/>
              </w:rPr>
              <w:t>2162</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宋体" w:cs="Arial"/>
                <w:i w:val="0"/>
                <w:iCs w:val="0"/>
                <w:color w:val="000000"/>
                <w:kern w:val="0"/>
                <w:sz w:val="20"/>
                <w:szCs w:val="20"/>
                <w:u w:val="none"/>
                <w:lang w:val="en-US" w:eastAsia="zh-CN" w:bidi="ar"/>
              </w:rPr>
            </w:pPr>
            <w:r>
              <w:rPr>
                <w:rFonts w:hint="default" w:ascii="Arial" w:hAnsi="Arial" w:eastAsia="宋体" w:cs="Arial"/>
                <w:i w:val="0"/>
                <w:iCs w:val="0"/>
                <w:color w:val="000000"/>
                <w:kern w:val="0"/>
                <w:sz w:val="20"/>
                <w:szCs w:val="20"/>
                <w:u w:val="none"/>
                <w:lang w:val="en-US" w:eastAsia="zh-CN" w:bidi="ar"/>
              </w:rPr>
              <w:t>193.6</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21101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环境保护管理事务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193.6</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193.6</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其他环境保护管理事务支出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193.6</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污染防治</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2110302</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水体</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2110399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其他污染防治支出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1968.4</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212</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城乡社区支出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31461.04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448.35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eastAsia" w:ascii="Arial" w:hAnsi="Arial" w:eastAsia="宋体" w:cs="Arial"/>
                <w:i w:val="0"/>
                <w:iCs w:val="0"/>
                <w:color w:val="000000"/>
                <w:kern w:val="0"/>
                <w:sz w:val="20"/>
                <w:szCs w:val="20"/>
                <w:u w:val="none"/>
                <w:lang w:val="en-US" w:eastAsia="zh-CN" w:bidi="ar"/>
              </w:rPr>
              <w:t>31012.69</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城乡社区管理事务支出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其他城乡社区管理事务支出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448.35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城乡社区公共设施</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lang w:val="en-US"/>
              </w:rPr>
            </w:pPr>
            <w:r>
              <w:rPr>
                <w:rFonts w:hint="eastAsia" w:ascii="Arial" w:hAnsi="Arial" w:eastAsia="宋体" w:cs="Arial"/>
                <w:i w:val="0"/>
                <w:iCs w:val="0"/>
                <w:color w:val="000000"/>
                <w:kern w:val="0"/>
                <w:sz w:val="20"/>
                <w:szCs w:val="20"/>
                <w:u w:val="none"/>
                <w:lang w:val="en-US" w:eastAsia="zh-CN" w:bidi="ar"/>
              </w:rPr>
              <w:t>28635.35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28635.35</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2120303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小城镇基础设施建设</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1500</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2120399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其他城乡社区公共设施支出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eastAsia" w:ascii="Arial" w:hAnsi="Arial" w:eastAsia="宋体" w:cs="Arial"/>
                <w:i w:val="0"/>
                <w:iCs w:val="0"/>
                <w:color w:val="000000"/>
                <w:kern w:val="0"/>
                <w:sz w:val="20"/>
                <w:szCs w:val="20"/>
                <w:u w:val="none"/>
                <w:lang w:val="en-US" w:eastAsia="zh-CN" w:bidi="ar"/>
              </w:rPr>
              <w:t>27135.35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lang w:val="en-US"/>
              </w:rPr>
            </w:pPr>
            <w:r>
              <w:rPr>
                <w:rFonts w:hint="eastAsia" w:ascii="Arial" w:hAnsi="Arial" w:eastAsia="宋体" w:cs="Arial"/>
                <w:i w:val="0"/>
                <w:iCs w:val="0"/>
                <w:color w:val="000000"/>
                <w:kern w:val="0"/>
                <w:sz w:val="20"/>
                <w:szCs w:val="20"/>
                <w:u w:val="none"/>
                <w:lang w:val="en-US" w:eastAsia="zh-CN" w:bidi="ar"/>
              </w:rPr>
              <w:t>27135.35</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21205</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城乡社区环境卫生</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2120501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城乡社区环境卫生</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2377.34</w:t>
            </w:r>
          </w:p>
        </w:tc>
      </w:tr>
      <w:tr>
        <w:tblPrEx>
          <w:tblCellMar>
            <w:top w:w="0" w:type="dxa"/>
            <w:left w:w="108" w:type="dxa"/>
            <w:bottom w:w="0" w:type="dxa"/>
            <w:right w:w="108" w:type="dxa"/>
          </w:tblCellMar>
        </w:tblPrEx>
        <w:trPr>
          <w:trHeight w:val="9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农林水支出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1425.07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eastAsia="仿宋_GB2312" w:cs="Arial"/>
                <w:i w:val="0"/>
                <w:iCs w:val="0"/>
                <w:color w:val="000000"/>
                <w:kern w:val="2"/>
                <w:sz w:val="20"/>
                <w:szCs w:val="20"/>
                <w:u w:val="none"/>
                <w:lang w:val="en-US" w:eastAsia="zh-CN" w:bidi="ar-SA"/>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eastAsia="仿宋_GB2312" w:cs="Arial"/>
                <w:i w:val="0"/>
                <w:iCs w:val="0"/>
                <w:color w:val="000000"/>
                <w:kern w:val="2"/>
                <w:sz w:val="20"/>
                <w:szCs w:val="20"/>
                <w:u w:val="none"/>
                <w:lang w:val="en-US" w:eastAsia="zh-CN" w:bidi="ar-SA"/>
              </w:rPr>
            </w:pPr>
            <w:r>
              <w:rPr>
                <w:rFonts w:hint="default" w:ascii="Arial" w:hAnsi="Arial" w:eastAsia="宋体" w:cs="Arial"/>
                <w:i w:val="0"/>
                <w:iCs w:val="0"/>
                <w:color w:val="000000"/>
                <w:kern w:val="0"/>
                <w:sz w:val="20"/>
                <w:szCs w:val="20"/>
                <w:u w:val="none"/>
                <w:lang w:val="en-US" w:eastAsia="zh-CN" w:bidi="ar"/>
              </w:rPr>
              <w:t>1425.07</w:t>
            </w:r>
          </w:p>
        </w:tc>
      </w:tr>
      <w:tr>
        <w:tblPrEx>
          <w:tblCellMar>
            <w:top w:w="0" w:type="dxa"/>
            <w:left w:w="108" w:type="dxa"/>
            <w:bottom w:w="0" w:type="dxa"/>
            <w:right w:w="108" w:type="dxa"/>
          </w:tblCellMar>
        </w:tblPrEx>
        <w:trPr>
          <w:trHeight w:val="9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农业</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其他农业支出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1425.07</w:t>
            </w: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21303</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水利</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2130399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其他水利支出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400</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交通运输支出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公路水路运输</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2140199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其他公路水路运输支出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27.85</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自然资源海洋气象等支出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22001</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自然资源事务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2200199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其他自然资源事务支出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49.39</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灾害防治及应急管理支出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22402</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消防事务</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r>
        <w:tblPrEx>
          <w:tblCellMar>
            <w:top w:w="0" w:type="dxa"/>
            <w:left w:w="108" w:type="dxa"/>
            <w:bottom w:w="0" w:type="dxa"/>
            <w:right w:w="108" w:type="dxa"/>
          </w:tblCellMar>
        </w:tblPrEx>
        <w:trPr>
          <w:trHeight w:val="270" w:hRule="atLeast"/>
        </w:trPr>
        <w:tc>
          <w:tcPr>
            <w:tcW w:w="13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2240299</w:t>
            </w:r>
          </w:p>
        </w:tc>
        <w:tc>
          <w:tcPr>
            <w:tcW w:w="3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其他消防事务支出</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111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bottom"/>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lang w:val="en-US" w:eastAsia="zh-CN" w:bidi="ar"/>
              </w:rPr>
              <w:t>369.08</w:t>
            </w:r>
          </w:p>
        </w:tc>
        <w:tc>
          <w:tcPr>
            <w:tcW w:w="2274"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jc w:val="center"/>
              <w:rPr>
                <w:rFonts w:hint="default" w:ascii="Arial" w:hAnsi="Arial" w:cs="Arial"/>
                <w:i w:val="0"/>
                <w:iCs w:val="0"/>
                <w:color w:val="000000"/>
                <w:sz w:val="20"/>
                <w:szCs w:val="20"/>
                <w:u w:val="none"/>
              </w:rPr>
            </w:pPr>
          </w:p>
        </w:tc>
      </w:tr>
    </w:tbl>
    <w:p>
      <w:pPr>
        <w:rPr>
          <w:rFonts w:hint="eastAsia" w:ascii="黑体" w:hAnsi="黑体" w:eastAsia="黑体"/>
          <w:szCs w:val="32"/>
        </w:rPr>
      </w:pPr>
    </w:p>
    <w:p>
      <w:pPr>
        <w:ind w:firstLine="640" w:firstLineChars="200"/>
        <w:rPr>
          <w:rFonts w:hint="eastAsia" w:ascii="黑体" w:hAnsi="黑体" w:eastAsia="黑体"/>
          <w:szCs w:val="32"/>
        </w:rPr>
      </w:pPr>
    </w:p>
    <w:tbl>
      <w:tblPr>
        <w:tblStyle w:val="5"/>
        <w:tblW w:w="6330" w:type="dxa"/>
        <w:tblInd w:w="93" w:type="dxa"/>
        <w:shd w:val="clear" w:color="auto" w:fill="auto"/>
        <w:tblLayout w:type="autofit"/>
        <w:tblCellMar>
          <w:top w:w="0" w:type="dxa"/>
          <w:left w:w="108" w:type="dxa"/>
          <w:bottom w:w="0" w:type="dxa"/>
          <w:right w:w="108" w:type="dxa"/>
        </w:tblCellMar>
      </w:tblPr>
      <w:tblGrid>
        <w:gridCol w:w="1100"/>
        <w:gridCol w:w="4506"/>
        <w:gridCol w:w="1890"/>
      </w:tblGrid>
      <w:tr>
        <w:tblPrEx>
          <w:shd w:val="clear" w:color="auto" w:fill="auto"/>
          <w:tblCellMar>
            <w:top w:w="0" w:type="dxa"/>
            <w:left w:w="108" w:type="dxa"/>
            <w:bottom w:w="0" w:type="dxa"/>
            <w:right w:w="108" w:type="dxa"/>
          </w:tblCellMar>
        </w:tblPrEx>
        <w:trPr>
          <w:trHeight w:val="255" w:hRule="atLeast"/>
        </w:trPr>
        <w:tc>
          <w:tcPr>
            <w:tcW w:w="1005" w:type="dxa"/>
            <w:tcBorders>
              <w:top w:val="nil"/>
              <w:left w:val="nil"/>
              <w:bottom w:val="nil"/>
              <w:right w:val="nil"/>
            </w:tcBorders>
            <w:shd w:val="clear" w:color="auto" w:fill="auto"/>
            <w:noWrap/>
            <w:vAlign w:val="bottom"/>
          </w:tcPr>
          <w:p>
            <w:pPr>
              <w:keepNext w:val="0"/>
              <w:keepLines w:val="0"/>
              <w:widowControl/>
              <w:suppressLineNumbers w:val="0"/>
              <w:jc w:val="center"/>
              <w:textAlignment w:val="bottom"/>
              <w:rPr>
                <w:rFonts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 xml:space="preserve"> </w:t>
            </w:r>
          </w:p>
        </w:tc>
        <w:tc>
          <w:tcPr>
            <w:tcW w:w="3435" w:type="dxa"/>
            <w:tcBorders>
              <w:top w:val="nil"/>
              <w:left w:val="nil"/>
              <w:bottom w:val="nil"/>
              <w:right w:val="nil"/>
            </w:tcBorders>
            <w:shd w:val="clear" w:color="auto" w:fill="auto"/>
            <w:noWrap/>
            <w:vAlign w:val="bottom"/>
          </w:tcPr>
          <w:p>
            <w:pPr>
              <w:rPr>
                <w:rFonts w:hint="eastAsia" w:ascii="Arial" w:hAnsi="Arial" w:cs="Arial"/>
                <w:i w:val="0"/>
                <w:iCs w:val="0"/>
                <w:color w:val="000000"/>
                <w:sz w:val="20"/>
                <w:szCs w:val="20"/>
                <w:u w:val="none"/>
              </w:rPr>
            </w:pPr>
          </w:p>
        </w:tc>
        <w:tc>
          <w:tcPr>
            <w:tcW w:w="1890" w:type="dxa"/>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部门公开表6</w:t>
            </w:r>
          </w:p>
        </w:tc>
      </w:tr>
      <w:tr>
        <w:tblPrEx>
          <w:tblCellMar>
            <w:top w:w="0" w:type="dxa"/>
            <w:left w:w="108" w:type="dxa"/>
            <w:bottom w:w="0" w:type="dxa"/>
            <w:right w:w="108" w:type="dxa"/>
          </w:tblCellMar>
        </w:tblPrEx>
        <w:trPr>
          <w:trHeight w:val="660" w:hRule="atLeast"/>
        </w:trPr>
        <w:tc>
          <w:tcPr>
            <w:tcW w:w="0" w:type="auto"/>
            <w:gridSpan w:val="3"/>
            <w:tcBorders>
              <w:top w:val="nil"/>
              <w:left w:val="nil"/>
              <w:bottom w:val="nil"/>
              <w:right w:val="nil"/>
            </w:tcBorders>
            <w:shd w:val="clear" w:color="auto" w:fill="auto"/>
            <w:noWrap/>
            <w:vAlign w:val="bottom"/>
          </w:tcPr>
          <w:p>
            <w:pPr>
              <w:keepNext w:val="0"/>
              <w:keepLines w:val="0"/>
              <w:widowControl/>
              <w:suppressLineNumbers w:val="0"/>
              <w:jc w:val="center"/>
              <w:textAlignment w:val="bottom"/>
              <w:rPr>
                <w:rFonts w:ascii="华文中宋" w:hAnsi="华文中宋" w:eastAsia="华文中宋" w:cs="华文中宋"/>
                <w:b/>
                <w:bCs/>
                <w:i w:val="0"/>
                <w:iCs w:val="0"/>
                <w:color w:val="000000"/>
                <w:sz w:val="36"/>
                <w:szCs w:val="36"/>
                <w:u w:val="none"/>
              </w:rPr>
            </w:pPr>
            <w:r>
              <w:rPr>
                <w:rFonts w:hint="default" w:ascii="华文中宋" w:hAnsi="华文中宋" w:eastAsia="华文中宋" w:cs="华文中宋"/>
                <w:b/>
                <w:bCs/>
                <w:i w:val="0"/>
                <w:iCs w:val="0"/>
                <w:color w:val="000000"/>
                <w:kern w:val="0"/>
                <w:sz w:val="36"/>
                <w:szCs w:val="36"/>
                <w:u w:val="none"/>
                <w:lang w:val="en-US" w:eastAsia="zh-CN" w:bidi="ar"/>
              </w:rPr>
              <w:t>一般公共预算基本支出</w:t>
            </w:r>
            <w:r>
              <w:rPr>
                <w:rFonts w:hint="eastAsia" w:ascii="华文中宋" w:hAnsi="华文中宋" w:eastAsia="华文中宋" w:cs="华文中宋"/>
                <w:b/>
                <w:bCs/>
                <w:i w:val="0"/>
                <w:iCs w:val="0"/>
                <w:color w:val="000000"/>
                <w:kern w:val="0"/>
                <w:sz w:val="36"/>
                <w:szCs w:val="36"/>
                <w:u w:val="none"/>
                <w:lang w:val="en-US" w:eastAsia="zh-CN" w:bidi="ar"/>
              </w:rPr>
              <w:t>预算</w:t>
            </w:r>
            <w:r>
              <w:rPr>
                <w:rFonts w:hint="default" w:ascii="华文中宋" w:hAnsi="华文中宋" w:eastAsia="华文中宋" w:cs="华文中宋"/>
                <w:b/>
                <w:bCs/>
                <w:i w:val="0"/>
                <w:iCs w:val="0"/>
                <w:color w:val="000000"/>
                <w:kern w:val="0"/>
                <w:sz w:val="36"/>
                <w:szCs w:val="36"/>
                <w:u w:val="none"/>
                <w:lang w:val="en-US" w:eastAsia="zh-CN" w:bidi="ar"/>
              </w:rPr>
              <w:t>表</w:t>
            </w:r>
          </w:p>
        </w:tc>
      </w:tr>
      <w:tr>
        <w:tblPrEx>
          <w:tblCellMar>
            <w:top w:w="0" w:type="dxa"/>
            <w:left w:w="108" w:type="dxa"/>
            <w:bottom w:w="0" w:type="dxa"/>
            <w:right w:w="108" w:type="dxa"/>
          </w:tblCellMar>
        </w:tblPrEx>
        <w:trPr>
          <w:trHeight w:val="36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jc w:val="left"/>
              <w:rPr>
                <w:rFonts w:hint="eastAsia" w:ascii="宋体" w:hAnsi="宋体" w:eastAsia="宋体" w:cs="宋体"/>
                <w:i w:val="0"/>
                <w:iCs w:val="0"/>
                <w:color w:val="000000"/>
                <w:sz w:val="22"/>
                <w:szCs w:val="22"/>
                <w:u w:val="none"/>
              </w:rPr>
            </w:pPr>
          </w:p>
        </w:tc>
        <w:tc>
          <w:tcPr>
            <w:tcW w:w="0" w:type="auto"/>
            <w:tcBorders>
              <w:top w:val="nil"/>
              <w:left w:val="nil"/>
              <w:bottom w:val="single" w:color="000000" w:sz="4" w:space="0"/>
              <w:right w:val="single" w:color="000000" w:sz="4" w:space="0"/>
            </w:tcBorders>
            <w:shd w:val="clear" w:color="FFFFFF" w:fill="C0C0C0"/>
            <w:noWrap/>
            <w:vAlign w:val="center"/>
          </w:tcPr>
          <w:p>
            <w:pPr>
              <w:jc w:val="left"/>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bottom"/>
          </w:tcPr>
          <w:p>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单位：万</w:t>
            </w:r>
          </w:p>
        </w:tc>
      </w:tr>
      <w:tr>
        <w:tblPrEx>
          <w:tblCellMar>
            <w:top w:w="0" w:type="dxa"/>
            <w:left w:w="108" w:type="dxa"/>
            <w:bottom w:w="0" w:type="dxa"/>
            <w:right w:w="108" w:type="dxa"/>
          </w:tblCellMar>
        </w:tblPrEx>
        <w:trPr>
          <w:trHeight w:val="285" w:hRule="atLeast"/>
        </w:trPr>
        <w:tc>
          <w:tcPr>
            <w:tcW w:w="0" w:type="auto"/>
            <w:gridSpan w:val="2"/>
            <w:tcBorders>
              <w:top w:val="single" w:color="000000" w:sz="8" w:space="0"/>
              <w:left w:val="single" w:color="000000" w:sz="8" w:space="0"/>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经济分类科目</w:t>
            </w:r>
          </w:p>
        </w:tc>
        <w:tc>
          <w:tcPr>
            <w:tcW w:w="0" w:type="auto"/>
            <w:vMerge w:val="restart"/>
            <w:tcBorders>
              <w:top w:val="single" w:color="000000" w:sz="8" w:space="0"/>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tblPrEx>
          <w:tblCellMar>
            <w:top w:w="0" w:type="dxa"/>
            <w:left w:w="108" w:type="dxa"/>
            <w:bottom w:w="0" w:type="dxa"/>
            <w:right w:w="108" w:type="dxa"/>
          </w:tblCellMar>
        </w:tblPrEx>
        <w:trPr>
          <w:trHeight w:val="90" w:hRule="atLeast"/>
        </w:trPr>
        <w:tc>
          <w:tcPr>
            <w:tcW w:w="0" w:type="auto"/>
            <w:tcBorders>
              <w:top w:val="nil"/>
              <w:left w:val="single" w:color="000000" w:sz="8" w:space="0"/>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tcBorders>
              <w:top w:val="nil"/>
              <w:left w:val="nil"/>
              <w:bottom w:val="single" w:color="000000" w:sz="8" w:space="0"/>
              <w:right w:val="single" w:color="000000" w:sz="8" w:space="0"/>
            </w:tcBorders>
            <w:shd w:val="clear" w:color="auto" w:fill="auto"/>
            <w:noWrap/>
            <w:vAlign w:val="bottom"/>
          </w:tcPr>
          <w:p>
            <w:pPr>
              <w:keepNext w:val="0"/>
              <w:keepLines w:val="0"/>
              <w:widowControl/>
              <w:suppressLineNumbers w:val="0"/>
              <w:jc w:val="center"/>
              <w:textAlignment w:val="bottom"/>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科目名称</w:t>
            </w:r>
          </w:p>
        </w:tc>
        <w:tc>
          <w:tcPr>
            <w:tcW w:w="0" w:type="auto"/>
            <w:vMerge w:val="continue"/>
            <w:tcBorders>
              <w:top w:val="single" w:color="000000" w:sz="8" w:space="0"/>
              <w:left w:val="nil"/>
              <w:bottom w:val="single" w:color="000000" w:sz="8" w:space="0"/>
              <w:right w:val="single" w:color="000000" w:sz="8" w:space="0"/>
            </w:tcBorders>
            <w:shd w:val="clear" w:color="auto" w:fill="auto"/>
            <w:noWrap/>
            <w:vAlign w:val="bottom"/>
          </w:tcPr>
          <w:p>
            <w:pPr>
              <w:jc w:val="center"/>
              <w:rPr>
                <w:rFonts w:hint="eastAsia" w:ascii="宋体" w:hAnsi="宋体" w:eastAsia="宋体" w:cs="宋体"/>
                <w:b/>
                <w:bCs/>
                <w:i w:val="0"/>
                <w:iCs w:val="0"/>
                <w:color w:val="000000"/>
                <w:sz w:val="22"/>
                <w:szCs w:val="22"/>
                <w:u w:val="none"/>
              </w:rPr>
            </w:pP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合计</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7138.35</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工资福利支出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1,336.03</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基本工资</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378.45</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津贴补贴</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奖金</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258.13</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伙食补助费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132.30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绩效工资</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172.15</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134.61</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职业年金缴费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30110</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职工基本医疗保险缴费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24.44</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公务员医疗补助缴费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其他社会保障缴费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8.56</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57.55</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医疗费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30199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其他工资福利支出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54.83</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对个人和家庭的补助</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1,960.88</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离休费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退休费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退职（役）费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抚恤金</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6.78</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生活补助</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544.70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救济费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10.44</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医疗费补助</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8.58</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助学金</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奖励金</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509.00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30310</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个人农业生产补贴</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872.70</w:t>
            </w:r>
          </w:p>
        </w:tc>
      </w:tr>
      <w:tr>
        <w:tblPrEx>
          <w:tblCellMar>
            <w:top w:w="0" w:type="dxa"/>
            <w:left w:w="108" w:type="dxa"/>
            <w:bottom w:w="0" w:type="dxa"/>
            <w:right w:w="108" w:type="dxa"/>
          </w:tblCellMar>
        </w:tblPrEx>
        <w:trPr>
          <w:trHeight w:val="270" w:hRule="atLeast"/>
        </w:trPr>
        <w:tc>
          <w:tcPr>
            <w:tcW w:w="0" w:type="auto"/>
            <w:tcBorders>
              <w:top w:val="nil"/>
              <w:left w:val="single" w:color="000000" w:sz="4" w:space="0"/>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30399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其他对个人和家庭的补助支出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5.67</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商品和服务支出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3,084.75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办公费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303.50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印刷费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234.40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咨询费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手续费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2.87</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30205</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水费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电费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75.95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邮电费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85.82</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取暖费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0.02</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物业管理费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377.35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差旅费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158.55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因公出国（境）费用</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highlight w:val="darkRed"/>
                <w:u w:val="none"/>
                <w:lang w:val="en-US"/>
              </w:rPr>
            </w:pPr>
            <w:r>
              <w:rPr>
                <w:rFonts w:hint="eastAsia" w:ascii="宋体" w:hAnsi="宋体" w:eastAsia="宋体" w:cs="宋体"/>
                <w:i w:val="0"/>
                <w:iCs w:val="0"/>
                <w:color w:val="000000"/>
                <w:kern w:val="0"/>
                <w:sz w:val="22"/>
                <w:szCs w:val="22"/>
                <w:u w:val="none"/>
                <w:lang w:val="en-US" w:eastAsia="zh-CN" w:bidi="ar"/>
              </w:rPr>
              <w:t>20.00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维修(护)费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66.81</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租赁费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206.07</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30215</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会议费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38.00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培训费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16.86</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公务接待费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55</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专用材料费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19.31</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被装购置费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50.03</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30225</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专用燃料费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劳务费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293.44</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委托业务费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449.26</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工会经费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67.27</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福利费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14.58</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30231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公务用车运行维护费</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110.00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30239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其他交通费用</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239.99</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30240</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税金及附加费用</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其他商品和服务支出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188.56</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债务利息及费用支出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国内债务付息</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30702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国外债务付息</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国内债务发行费用</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30704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国外债务发行费用</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资本性支出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123.92</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房屋建筑物购建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办公设备购置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48.17</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专用设备购置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43.17</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31005</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基础设施建设</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大型修缮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信息网络及软件购置更新</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物资储备</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土地补偿</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31010</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安置补助</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31011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地上附着物和青苗补偿</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31012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拆迁补偿</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31013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公务用车购置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31019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其他交通工具购置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31021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文物和陈列品购置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31022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无形资产购置</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31099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其他资本性支出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31.38</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对企业补助</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632.76</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31201</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资本金注入</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31203</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政府投资基金股权投资</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31204</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费用补贴</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589.16</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31205</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利息补贴</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31299 </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其他对企业补助</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43.60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39906</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赠与</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39907</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国家赔偿费用支出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39908</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对民间非营利组织和群众性自治组织补贴</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270" w:hRule="atLeast"/>
        </w:trPr>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39999</w:t>
            </w:r>
          </w:p>
        </w:tc>
        <w:tc>
          <w:tcPr>
            <w:tcW w:w="0" w:type="auto"/>
            <w:tcBorders>
              <w:top w:val="nil"/>
              <w:left w:val="nil"/>
              <w:bottom w:val="single" w:color="000000" w:sz="4" w:space="0"/>
              <w:right w:val="single" w:color="000000" w:sz="4" w:space="0"/>
            </w:tcBorders>
            <w:shd w:val="clear" w:color="FFFFFF"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其他支出</w:t>
            </w:r>
          </w:p>
        </w:tc>
        <w:tc>
          <w:tcPr>
            <w:tcW w:w="0" w:type="auto"/>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bl>
    <w:p>
      <w:pPr>
        <w:ind w:firstLine="640" w:firstLineChars="200"/>
        <w:rPr>
          <w:rFonts w:hint="eastAsia" w:ascii="黑体" w:hAnsi="黑体" w:eastAsia="黑体"/>
          <w:szCs w:val="32"/>
        </w:rPr>
      </w:pPr>
    </w:p>
    <w:p>
      <w:pPr>
        <w:ind w:firstLine="640" w:firstLineChars="200"/>
        <w:rPr>
          <w:rFonts w:hint="eastAsia" w:ascii="黑体" w:hAnsi="黑体" w:eastAsia="黑体"/>
          <w:szCs w:val="32"/>
        </w:rPr>
      </w:pPr>
    </w:p>
    <w:p>
      <w:pPr>
        <w:pStyle w:val="4"/>
        <w:adjustRightInd w:val="0"/>
        <w:snapToGrid w:val="0"/>
        <w:spacing w:before="0" w:beforeAutospacing="0" w:after="0" w:afterAutospacing="0" w:line="360" w:lineRule="auto"/>
        <w:jc w:val="right"/>
        <w:rPr>
          <w:rFonts w:hint="eastAsia"/>
          <w:sz w:val="20"/>
          <w:szCs w:val="20"/>
        </w:rPr>
      </w:pPr>
    </w:p>
    <w:p>
      <w:pPr>
        <w:pStyle w:val="4"/>
        <w:adjustRightInd w:val="0"/>
        <w:snapToGrid w:val="0"/>
        <w:spacing w:before="0" w:beforeAutospacing="0" w:after="0" w:afterAutospacing="0" w:line="360" w:lineRule="auto"/>
        <w:jc w:val="both"/>
        <w:rPr>
          <w:rFonts w:hint="eastAsia"/>
          <w:sz w:val="20"/>
          <w:szCs w:val="20"/>
        </w:rPr>
      </w:pPr>
    </w:p>
    <w:p>
      <w:pPr>
        <w:pStyle w:val="4"/>
        <w:adjustRightInd w:val="0"/>
        <w:snapToGrid w:val="0"/>
        <w:spacing w:before="0" w:beforeAutospacing="0" w:after="0" w:afterAutospacing="0" w:line="360" w:lineRule="auto"/>
        <w:jc w:val="right"/>
        <w:rPr>
          <w:rFonts w:hint="eastAsia" w:eastAsia="宋体"/>
          <w:sz w:val="20"/>
          <w:szCs w:val="20"/>
          <w:lang w:eastAsia="zh-CN"/>
        </w:rPr>
      </w:pPr>
      <w:r>
        <w:rPr>
          <w:rFonts w:hint="eastAsia"/>
          <w:sz w:val="20"/>
          <w:szCs w:val="20"/>
        </w:rPr>
        <w:t>部门公开表</w:t>
      </w:r>
      <w:r>
        <w:rPr>
          <w:rFonts w:hint="eastAsia"/>
          <w:sz w:val="20"/>
          <w:szCs w:val="20"/>
          <w:lang w:val="en-US" w:eastAsia="zh-CN"/>
        </w:rPr>
        <w:t>7</w:t>
      </w:r>
    </w:p>
    <w:p>
      <w:pPr>
        <w:pStyle w:val="4"/>
        <w:adjustRightInd w:val="0"/>
        <w:snapToGrid w:val="0"/>
        <w:spacing w:before="0" w:beforeAutospacing="0" w:after="0" w:afterAutospacing="0" w:line="360" w:lineRule="auto"/>
        <w:jc w:val="right"/>
        <w:rPr>
          <w:rFonts w:hint="eastAsia" w:ascii="黑体" w:hAnsi="黑体" w:eastAsia="黑体"/>
          <w:bCs/>
          <w:sz w:val="10"/>
          <w:szCs w:val="10"/>
        </w:rPr>
      </w:pPr>
    </w:p>
    <w:tbl>
      <w:tblPr>
        <w:tblStyle w:val="5"/>
        <w:tblW w:w="9114" w:type="dxa"/>
        <w:tblInd w:w="0" w:type="dxa"/>
        <w:tblLayout w:type="fixed"/>
        <w:tblCellMar>
          <w:top w:w="0" w:type="dxa"/>
          <w:left w:w="108" w:type="dxa"/>
          <w:bottom w:w="0" w:type="dxa"/>
          <w:right w:w="108" w:type="dxa"/>
        </w:tblCellMar>
      </w:tblPr>
      <w:tblGrid>
        <w:gridCol w:w="473"/>
        <w:gridCol w:w="715"/>
        <w:gridCol w:w="3960"/>
        <w:gridCol w:w="956"/>
        <w:gridCol w:w="124"/>
        <w:gridCol w:w="720"/>
        <w:gridCol w:w="540"/>
        <w:gridCol w:w="1260"/>
        <w:gridCol w:w="366"/>
      </w:tblGrid>
      <w:tr>
        <w:tblPrEx>
          <w:tblCellMar>
            <w:top w:w="0" w:type="dxa"/>
            <w:left w:w="108" w:type="dxa"/>
            <w:bottom w:w="0" w:type="dxa"/>
            <w:right w:w="108" w:type="dxa"/>
          </w:tblCellMar>
        </w:tblPrEx>
        <w:trPr>
          <w:trHeight w:val="510" w:hRule="atLeast"/>
        </w:trPr>
        <w:tc>
          <w:tcPr>
            <w:tcW w:w="9114" w:type="dxa"/>
            <w:gridSpan w:val="9"/>
            <w:tcBorders>
              <w:top w:val="nil"/>
              <w:left w:val="nil"/>
              <w:bottom w:val="nil"/>
              <w:right w:val="nil"/>
            </w:tcBorders>
            <w:noWrap w:val="0"/>
            <w:vAlign w:val="center"/>
          </w:tcPr>
          <w:p>
            <w:pPr>
              <w:widowControl/>
              <w:jc w:val="center"/>
              <w:rPr>
                <w:rFonts w:hint="eastAsia" w:ascii="华文中宋" w:hAnsi="华文中宋" w:eastAsia="华文中宋" w:cs="宋体"/>
                <w:b/>
                <w:bCs/>
                <w:kern w:val="0"/>
                <w:sz w:val="36"/>
                <w:szCs w:val="36"/>
              </w:rPr>
            </w:pPr>
            <w:r>
              <w:rPr>
                <w:rFonts w:hint="eastAsia" w:ascii="华文中宋" w:hAnsi="华文中宋" w:eastAsia="华文中宋" w:cs="宋体"/>
                <w:b/>
                <w:bCs/>
                <w:kern w:val="0"/>
                <w:sz w:val="36"/>
                <w:szCs w:val="36"/>
              </w:rPr>
              <w:t>政府性基金预算支出表</w:t>
            </w:r>
          </w:p>
        </w:tc>
      </w:tr>
      <w:tr>
        <w:tblPrEx>
          <w:tblCellMar>
            <w:top w:w="0" w:type="dxa"/>
            <w:left w:w="108" w:type="dxa"/>
            <w:bottom w:w="0" w:type="dxa"/>
            <w:right w:w="108" w:type="dxa"/>
          </w:tblCellMar>
        </w:tblPrEx>
        <w:trPr>
          <w:gridAfter w:val="1"/>
          <w:wAfter w:w="366" w:type="dxa"/>
          <w:trHeight w:val="375" w:hRule="atLeast"/>
        </w:trPr>
        <w:tc>
          <w:tcPr>
            <w:tcW w:w="473" w:type="dxa"/>
            <w:tcBorders>
              <w:top w:val="nil"/>
              <w:left w:val="nil"/>
              <w:bottom w:val="nil"/>
              <w:right w:val="nil"/>
            </w:tcBorders>
            <w:noWrap w:val="0"/>
            <w:vAlign w:val="center"/>
          </w:tcPr>
          <w:p>
            <w:pPr>
              <w:widowControl/>
              <w:jc w:val="left"/>
              <w:rPr>
                <w:rFonts w:hint="eastAsia" w:ascii="宋体" w:hAnsi="宋体" w:cs="宋体"/>
                <w:kern w:val="0"/>
                <w:sz w:val="18"/>
                <w:szCs w:val="18"/>
              </w:rPr>
            </w:pPr>
          </w:p>
        </w:tc>
        <w:tc>
          <w:tcPr>
            <w:tcW w:w="715" w:type="dxa"/>
            <w:tcBorders>
              <w:top w:val="nil"/>
              <w:left w:val="nil"/>
              <w:bottom w:val="nil"/>
              <w:right w:val="nil"/>
            </w:tcBorders>
            <w:noWrap w:val="0"/>
            <w:vAlign w:val="center"/>
          </w:tcPr>
          <w:p>
            <w:pPr>
              <w:widowControl/>
              <w:jc w:val="left"/>
              <w:rPr>
                <w:rFonts w:hint="eastAsia" w:ascii="宋体" w:hAnsi="宋体" w:cs="宋体"/>
                <w:kern w:val="0"/>
                <w:sz w:val="20"/>
                <w:szCs w:val="20"/>
              </w:rPr>
            </w:pPr>
          </w:p>
        </w:tc>
        <w:tc>
          <w:tcPr>
            <w:tcW w:w="3960" w:type="dxa"/>
            <w:tcBorders>
              <w:top w:val="nil"/>
              <w:left w:val="nil"/>
              <w:bottom w:val="nil"/>
              <w:right w:val="nil"/>
            </w:tcBorders>
            <w:noWrap w:val="0"/>
            <w:vAlign w:val="center"/>
          </w:tcPr>
          <w:p>
            <w:pPr>
              <w:widowControl/>
              <w:rPr>
                <w:rFonts w:ascii="宋体" w:hAnsi="宋体" w:cs="宋体"/>
                <w:kern w:val="0"/>
                <w:sz w:val="20"/>
                <w:szCs w:val="20"/>
              </w:rPr>
            </w:pPr>
          </w:p>
        </w:tc>
        <w:tc>
          <w:tcPr>
            <w:tcW w:w="956" w:type="dxa"/>
            <w:tcBorders>
              <w:top w:val="nil"/>
              <w:left w:val="nil"/>
              <w:bottom w:val="nil"/>
              <w:right w:val="nil"/>
            </w:tcBorders>
            <w:noWrap w:val="0"/>
            <w:vAlign w:val="center"/>
          </w:tcPr>
          <w:p>
            <w:pPr>
              <w:widowControl/>
              <w:jc w:val="left"/>
              <w:rPr>
                <w:rFonts w:ascii="宋体" w:hAnsi="宋体" w:cs="宋体"/>
                <w:kern w:val="0"/>
                <w:sz w:val="20"/>
                <w:szCs w:val="20"/>
              </w:rPr>
            </w:pPr>
          </w:p>
        </w:tc>
        <w:tc>
          <w:tcPr>
            <w:tcW w:w="844" w:type="dxa"/>
            <w:gridSpan w:val="2"/>
            <w:tcBorders>
              <w:top w:val="nil"/>
              <w:left w:val="nil"/>
              <w:bottom w:val="nil"/>
              <w:right w:val="nil"/>
            </w:tcBorders>
            <w:noWrap w:val="0"/>
            <w:vAlign w:val="center"/>
          </w:tcPr>
          <w:p>
            <w:pPr>
              <w:widowControl/>
              <w:jc w:val="left"/>
              <w:rPr>
                <w:rFonts w:hint="eastAsia" w:ascii="宋体" w:hAnsi="宋体" w:cs="宋体"/>
                <w:kern w:val="0"/>
                <w:sz w:val="20"/>
                <w:szCs w:val="20"/>
              </w:rPr>
            </w:pPr>
            <w:r>
              <w:rPr>
                <w:rFonts w:hint="eastAsia" w:ascii="宋体" w:hAnsi="宋体" w:cs="宋体"/>
                <w:kern w:val="0"/>
                <w:sz w:val="20"/>
                <w:szCs w:val="20"/>
              </w:rPr>
              <w:t xml:space="preserve">    </w:t>
            </w:r>
          </w:p>
        </w:tc>
        <w:tc>
          <w:tcPr>
            <w:tcW w:w="1800" w:type="dxa"/>
            <w:gridSpan w:val="2"/>
            <w:tcBorders>
              <w:top w:val="nil"/>
              <w:left w:val="nil"/>
              <w:bottom w:val="nil"/>
            </w:tcBorders>
            <w:noWrap w:val="0"/>
            <w:vAlign w:val="center"/>
          </w:tcPr>
          <w:p>
            <w:pPr>
              <w:widowControl/>
              <w:jc w:val="right"/>
              <w:rPr>
                <w:rFonts w:ascii="宋体" w:hAnsi="宋体" w:cs="宋体"/>
                <w:kern w:val="0"/>
                <w:sz w:val="20"/>
                <w:szCs w:val="20"/>
              </w:rPr>
            </w:pPr>
            <w:r>
              <w:rPr>
                <w:rFonts w:hint="eastAsia" w:ascii="宋体" w:hAnsi="宋体" w:cs="宋体"/>
                <w:kern w:val="0"/>
                <w:sz w:val="20"/>
                <w:szCs w:val="20"/>
              </w:rPr>
              <w:t>单位：万元</w:t>
            </w:r>
          </w:p>
        </w:tc>
      </w:tr>
      <w:tr>
        <w:tblPrEx>
          <w:tblCellMar>
            <w:top w:w="0" w:type="dxa"/>
            <w:left w:w="108" w:type="dxa"/>
            <w:bottom w:w="0" w:type="dxa"/>
            <w:right w:w="108" w:type="dxa"/>
          </w:tblCellMar>
        </w:tblPrEx>
        <w:trPr>
          <w:gridAfter w:val="1"/>
          <w:wAfter w:w="366" w:type="dxa"/>
          <w:trHeight w:val="405" w:hRule="atLeast"/>
        </w:trPr>
        <w:tc>
          <w:tcPr>
            <w:tcW w:w="5148"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b/>
                <w:kern w:val="0"/>
                <w:sz w:val="24"/>
              </w:rPr>
            </w:pPr>
            <w:r>
              <w:rPr>
                <w:rFonts w:hint="eastAsia" w:ascii="宋体" w:hAnsi="宋体" w:cs="宋体"/>
                <w:b/>
                <w:kern w:val="0"/>
                <w:sz w:val="22"/>
                <w:szCs w:val="22"/>
              </w:rPr>
              <w:t>功能分类科目</w:t>
            </w:r>
          </w:p>
        </w:tc>
        <w:tc>
          <w:tcPr>
            <w:tcW w:w="3600" w:type="dxa"/>
            <w:gridSpan w:val="5"/>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kern w:val="0"/>
                <w:sz w:val="24"/>
              </w:rPr>
            </w:pPr>
            <w:r>
              <w:rPr>
                <w:rFonts w:hint="eastAsia" w:ascii="宋体" w:hAnsi="宋体" w:cs="宋体"/>
                <w:b/>
                <w:bCs/>
                <w:kern w:val="0"/>
                <w:sz w:val="22"/>
                <w:szCs w:val="22"/>
              </w:rPr>
              <w:t>政府性基金预算拨款支出</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b/>
                <w:bCs/>
                <w:kern w:val="0"/>
                <w:sz w:val="22"/>
                <w:szCs w:val="22"/>
              </w:rPr>
            </w:pPr>
            <w:r>
              <w:rPr>
                <w:rFonts w:hint="eastAsia" w:ascii="宋体" w:hAnsi="宋体" w:cs="宋体"/>
                <w:b/>
                <w:bCs/>
                <w:kern w:val="0"/>
                <w:sz w:val="22"/>
                <w:szCs w:val="22"/>
              </w:rPr>
              <w:t>科目编码</w:t>
            </w:r>
          </w:p>
        </w:tc>
        <w:tc>
          <w:tcPr>
            <w:tcW w:w="3960" w:type="dxa"/>
            <w:tcBorders>
              <w:top w:val="nil"/>
              <w:left w:val="nil"/>
              <w:bottom w:val="single" w:color="auto" w:sz="4" w:space="0"/>
              <w:right w:val="single" w:color="auto" w:sz="4" w:space="0"/>
            </w:tcBorders>
            <w:noWrap w:val="0"/>
            <w:vAlign w:val="center"/>
          </w:tcPr>
          <w:p>
            <w:pPr>
              <w:widowControl/>
              <w:jc w:val="center"/>
              <w:rPr>
                <w:rFonts w:ascii="宋体" w:hAnsi="宋体" w:cs="宋体"/>
                <w:b/>
                <w:bCs/>
                <w:kern w:val="0"/>
                <w:sz w:val="22"/>
                <w:szCs w:val="22"/>
              </w:rPr>
            </w:pPr>
            <w:r>
              <w:rPr>
                <w:rFonts w:hint="eastAsia" w:ascii="宋体" w:hAnsi="宋体" w:cs="宋体"/>
                <w:b/>
                <w:bCs/>
                <w:kern w:val="0"/>
                <w:sz w:val="22"/>
                <w:szCs w:val="22"/>
              </w:rPr>
              <w:t>科目名称</w:t>
            </w:r>
          </w:p>
        </w:tc>
        <w:tc>
          <w:tcPr>
            <w:tcW w:w="108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b/>
                <w:bCs/>
                <w:kern w:val="0"/>
                <w:sz w:val="22"/>
                <w:szCs w:val="22"/>
              </w:rPr>
            </w:pPr>
            <w:r>
              <w:rPr>
                <w:rFonts w:hint="eastAsia" w:ascii="宋体" w:hAnsi="宋体" w:cs="宋体"/>
                <w:b/>
                <w:bCs/>
                <w:kern w:val="0"/>
                <w:sz w:val="22"/>
                <w:szCs w:val="22"/>
              </w:rPr>
              <w:t>合计</w:t>
            </w:r>
          </w:p>
        </w:tc>
        <w:tc>
          <w:tcPr>
            <w:tcW w:w="1260" w:type="dxa"/>
            <w:gridSpan w:val="2"/>
            <w:tcBorders>
              <w:top w:val="nil"/>
              <w:left w:val="nil"/>
              <w:bottom w:val="single" w:color="auto" w:sz="4" w:space="0"/>
              <w:right w:val="single" w:color="auto" w:sz="4" w:space="0"/>
            </w:tcBorders>
            <w:noWrap w:val="0"/>
            <w:vAlign w:val="center"/>
          </w:tcPr>
          <w:p>
            <w:pPr>
              <w:widowControl/>
              <w:jc w:val="center"/>
              <w:rPr>
                <w:rFonts w:ascii="宋体" w:hAnsi="宋体" w:cs="宋体"/>
                <w:b/>
                <w:bCs/>
                <w:kern w:val="0"/>
                <w:sz w:val="22"/>
                <w:szCs w:val="22"/>
              </w:rPr>
            </w:pPr>
            <w:r>
              <w:rPr>
                <w:rFonts w:hint="eastAsia" w:ascii="宋体" w:hAnsi="宋体" w:cs="宋体"/>
                <w:b/>
                <w:bCs/>
                <w:kern w:val="0"/>
                <w:sz w:val="22"/>
                <w:szCs w:val="22"/>
              </w:rPr>
              <w:t>基本支出</w:t>
            </w:r>
          </w:p>
        </w:tc>
        <w:tc>
          <w:tcPr>
            <w:tcW w:w="1260" w:type="dxa"/>
            <w:tcBorders>
              <w:top w:val="nil"/>
              <w:left w:val="nil"/>
              <w:bottom w:val="single" w:color="auto" w:sz="4" w:space="0"/>
              <w:right w:val="single" w:color="auto" w:sz="4" w:space="0"/>
            </w:tcBorders>
            <w:noWrap w:val="0"/>
            <w:vAlign w:val="center"/>
          </w:tcPr>
          <w:p>
            <w:pPr>
              <w:widowControl/>
              <w:jc w:val="center"/>
              <w:rPr>
                <w:rFonts w:ascii="宋体" w:hAnsi="宋体" w:cs="宋体"/>
                <w:b/>
                <w:bCs/>
                <w:kern w:val="0"/>
                <w:sz w:val="22"/>
                <w:szCs w:val="22"/>
              </w:rPr>
            </w:pPr>
            <w:r>
              <w:rPr>
                <w:rFonts w:hint="eastAsia" w:ascii="宋体" w:hAnsi="宋体" w:cs="宋体"/>
                <w:b/>
                <w:bCs/>
                <w:kern w:val="0"/>
                <w:sz w:val="22"/>
                <w:szCs w:val="22"/>
              </w:rPr>
              <w:t>项目支出</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宋体" w:hAnsi="宋体" w:eastAsia="仿宋_GB2312" w:cs="宋体"/>
                <w:kern w:val="0"/>
                <w:sz w:val="22"/>
                <w:szCs w:val="22"/>
                <w:lang w:val="en-US" w:eastAsia="zh-CN"/>
              </w:rPr>
            </w:pPr>
            <w:r>
              <w:rPr>
                <w:rFonts w:hint="eastAsia" w:ascii="宋体" w:hAnsi="宋体" w:cs="宋体"/>
                <w:kern w:val="0"/>
                <w:sz w:val="22"/>
                <w:szCs w:val="22"/>
              </w:rPr>
              <w:t>　</w:t>
            </w:r>
            <w:r>
              <w:rPr>
                <w:rFonts w:hint="eastAsia" w:ascii="宋体" w:hAnsi="宋体" w:cs="宋体"/>
                <w:kern w:val="0"/>
                <w:sz w:val="22"/>
                <w:szCs w:val="22"/>
                <w:lang w:val="en-US" w:eastAsia="zh-CN"/>
              </w:rPr>
              <w:t>212</w:t>
            </w:r>
          </w:p>
        </w:tc>
        <w:tc>
          <w:tcPr>
            <w:tcW w:w="39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2"/>
                <w:szCs w:val="22"/>
              </w:rPr>
            </w:pPr>
            <w:r>
              <w:rPr>
                <w:rFonts w:hint="eastAsia" w:ascii="宋体" w:hAnsi="宋体" w:cs="宋体"/>
                <w:kern w:val="0"/>
                <w:sz w:val="22"/>
                <w:szCs w:val="22"/>
              </w:rPr>
              <w:t>　城乡社区支出</w:t>
            </w:r>
          </w:p>
        </w:tc>
        <w:tc>
          <w:tcPr>
            <w:tcW w:w="1080" w:type="dxa"/>
            <w:gridSpan w:val="2"/>
            <w:tcBorders>
              <w:top w:val="single" w:color="auto" w:sz="4" w:space="0"/>
              <w:left w:val="nil"/>
              <w:bottom w:val="single" w:color="auto" w:sz="4" w:space="0"/>
              <w:right w:val="single" w:color="auto" w:sz="4" w:space="0"/>
            </w:tcBorders>
            <w:noWrap w:val="0"/>
            <w:vAlign w:val="center"/>
          </w:tcPr>
          <w:p>
            <w:pPr>
              <w:widowControl/>
              <w:jc w:val="left"/>
              <w:rPr>
                <w:rFonts w:hint="default" w:ascii="宋体" w:hAnsi="宋体" w:eastAsia="仿宋_GB2312" w:cs="宋体"/>
                <w:kern w:val="0"/>
                <w:sz w:val="24"/>
                <w:lang w:val="en-US" w:eastAsia="zh-CN" w:bidi="ar-SA"/>
              </w:rPr>
            </w:pPr>
            <w:r>
              <w:rPr>
                <w:rFonts w:hint="eastAsia" w:ascii="宋体" w:hAnsi="宋体" w:cs="宋体"/>
                <w:kern w:val="0"/>
                <w:sz w:val="24"/>
              </w:rPr>
              <w:t>　</w:t>
            </w:r>
            <w:r>
              <w:rPr>
                <w:rFonts w:hint="eastAsia" w:ascii="宋体" w:hAnsi="宋体" w:cs="宋体"/>
                <w:kern w:val="0"/>
                <w:sz w:val="24"/>
                <w:lang w:val="en-US" w:eastAsia="zh-CN"/>
              </w:rPr>
              <w:t>2400</w:t>
            </w:r>
          </w:p>
        </w:tc>
        <w:tc>
          <w:tcPr>
            <w:tcW w:w="126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nil"/>
              <w:bottom w:val="single" w:color="auto" w:sz="4" w:space="0"/>
              <w:right w:val="single" w:color="auto" w:sz="4" w:space="0"/>
            </w:tcBorders>
            <w:noWrap w:val="0"/>
            <w:vAlign w:val="center"/>
          </w:tcPr>
          <w:p>
            <w:pPr>
              <w:widowControl/>
              <w:jc w:val="left"/>
              <w:rPr>
                <w:rFonts w:hint="default" w:ascii="宋体" w:hAnsi="宋体" w:eastAsia="仿宋_GB2312" w:cs="宋体"/>
                <w:kern w:val="0"/>
                <w:sz w:val="24"/>
                <w:lang w:val="en-US" w:eastAsia="zh-CN"/>
              </w:rPr>
            </w:pPr>
            <w:r>
              <w:rPr>
                <w:rFonts w:hint="eastAsia" w:ascii="宋体" w:hAnsi="宋体" w:cs="宋体"/>
                <w:kern w:val="0"/>
                <w:sz w:val="24"/>
              </w:rPr>
              <w:t>　</w:t>
            </w:r>
            <w:r>
              <w:rPr>
                <w:rFonts w:hint="eastAsia" w:ascii="宋体" w:hAnsi="宋体" w:cs="宋体"/>
                <w:kern w:val="0"/>
                <w:sz w:val="24"/>
                <w:lang w:val="en-US" w:eastAsia="zh-CN"/>
              </w:rPr>
              <w:t>2400</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宋体" w:hAnsi="宋体" w:eastAsia="仿宋_GB2312" w:cs="宋体"/>
                <w:kern w:val="0"/>
                <w:sz w:val="22"/>
                <w:szCs w:val="22"/>
                <w:lang w:val="en-US" w:eastAsia="zh-CN"/>
              </w:rPr>
            </w:pPr>
            <w:r>
              <w:rPr>
                <w:rFonts w:hint="eastAsia" w:ascii="宋体" w:hAnsi="宋体" w:cs="宋体"/>
                <w:kern w:val="0"/>
                <w:sz w:val="22"/>
                <w:szCs w:val="22"/>
              </w:rPr>
              <w:t>　</w:t>
            </w:r>
            <w:r>
              <w:rPr>
                <w:rFonts w:hint="eastAsia" w:ascii="宋体" w:hAnsi="宋体" w:cs="宋体"/>
                <w:kern w:val="0"/>
                <w:sz w:val="22"/>
                <w:szCs w:val="22"/>
                <w:lang w:val="en-US" w:eastAsia="zh-CN"/>
              </w:rPr>
              <w:t>21203</w:t>
            </w:r>
          </w:p>
        </w:tc>
        <w:tc>
          <w:tcPr>
            <w:tcW w:w="39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2"/>
                <w:szCs w:val="22"/>
              </w:rPr>
            </w:pPr>
            <w:r>
              <w:rPr>
                <w:rFonts w:hint="eastAsia" w:ascii="宋体" w:hAnsi="宋体" w:cs="宋体"/>
                <w:kern w:val="0"/>
                <w:sz w:val="22"/>
                <w:szCs w:val="22"/>
              </w:rPr>
              <w:t>　城乡社区公共设施</w:t>
            </w:r>
          </w:p>
        </w:tc>
        <w:tc>
          <w:tcPr>
            <w:tcW w:w="1080" w:type="dxa"/>
            <w:gridSpan w:val="2"/>
            <w:tcBorders>
              <w:top w:val="single" w:color="auto" w:sz="4" w:space="0"/>
              <w:left w:val="nil"/>
              <w:bottom w:val="single" w:color="auto" w:sz="4" w:space="0"/>
              <w:right w:val="single" w:color="auto" w:sz="4" w:space="0"/>
            </w:tcBorders>
            <w:noWrap w:val="0"/>
            <w:vAlign w:val="center"/>
          </w:tcPr>
          <w:p>
            <w:pPr>
              <w:widowControl/>
              <w:jc w:val="left"/>
              <w:rPr>
                <w:rFonts w:hint="default" w:ascii="宋体" w:hAnsi="宋体" w:eastAsia="仿宋_GB2312" w:cs="宋体"/>
                <w:kern w:val="0"/>
                <w:sz w:val="24"/>
                <w:lang w:val="en-US" w:eastAsia="zh-CN" w:bidi="ar-SA"/>
              </w:rPr>
            </w:pPr>
            <w:r>
              <w:rPr>
                <w:rFonts w:hint="eastAsia" w:ascii="宋体" w:hAnsi="宋体" w:cs="宋体"/>
                <w:kern w:val="0"/>
                <w:sz w:val="24"/>
              </w:rPr>
              <w:t>　</w:t>
            </w:r>
            <w:r>
              <w:rPr>
                <w:rFonts w:hint="eastAsia" w:ascii="宋体" w:hAnsi="宋体" w:cs="宋体"/>
                <w:kern w:val="0"/>
                <w:sz w:val="24"/>
                <w:lang w:val="en-US" w:eastAsia="zh-CN"/>
              </w:rPr>
              <w:t>2400</w:t>
            </w:r>
          </w:p>
        </w:tc>
        <w:tc>
          <w:tcPr>
            <w:tcW w:w="126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nil"/>
              <w:bottom w:val="single" w:color="auto" w:sz="4" w:space="0"/>
              <w:right w:val="single" w:color="auto" w:sz="4" w:space="0"/>
            </w:tcBorders>
            <w:noWrap w:val="0"/>
            <w:vAlign w:val="center"/>
          </w:tcPr>
          <w:p>
            <w:pPr>
              <w:widowControl/>
              <w:jc w:val="left"/>
              <w:rPr>
                <w:rFonts w:hint="default" w:ascii="宋体" w:hAnsi="宋体" w:eastAsia="仿宋_GB2312" w:cs="宋体"/>
                <w:kern w:val="0"/>
                <w:sz w:val="24"/>
                <w:lang w:val="en-US" w:eastAsia="zh-CN"/>
              </w:rPr>
            </w:pPr>
            <w:r>
              <w:rPr>
                <w:rFonts w:hint="eastAsia" w:ascii="宋体" w:hAnsi="宋体" w:cs="宋体"/>
                <w:kern w:val="0"/>
                <w:sz w:val="24"/>
              </w:rPr>
              <w:t>　</w:t>
            </w:r>
            <w:r>
              <w:rPr>
                <w:rFonts w:hint="eastAsia" w:ascii="宋体" w:hAnsi="宋体" w:cs="宋体"/>
                <w:kern w:val="0"/>
                <w:sz w:val="24"/>
                <w:lang w:val="en-US" w:eastAsia="zh-CN"/>
              </w:rPr>
              <w:t>2400</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bottom"/>
          </w:tcPr>
          <w:p>
            <w:pPr>
              <w:widowControl/>
              <w:jc w:val="center"/>
              <w:rPr>
                <w:rFonts w:hint="default" w:ascii="宋体" w:hAnsi="宋体" w:eastAsia="仿宋_GB2312" w:cs="宋体"/>
                <w:kern w:val="0"/>
                <w:sz w:val="24"/>
                <w:lang w:val="en-US" w:eastAsia="zh-CN"/>
              </w:rPr>
            </w:pPr>
            <w:r>
              <w:rPr>
                <w:rFonts w:hint="eastAsia" w:ascii="宋体" w:hAnsi="宋体" w:cs="宋体"/>
                <w:kern w:val="0"/>
                <w:sz w:val="24"/>
                <w:lang w:val="en-US" w:eastAsia="zh-CN"/>
              </w:rPr>
              <w:t>2120399</w:t>
            </w:r>
          </w:p>
        </w:tc>
        <w:tc>
          <w:tcPr>
            <w:tcW w:w="3960" w:type="dxa"/>
            <w:tcBorders>
              <w:top w:val="single" w:color="auto" w:sz="4" w:space="0"/>
              <w:left w:val="single" w:color="auto" w:sz="4" w:space="0"/>
              <w:bottom w:val="single" w:color="auto" w:sz="4" w:space="0"/>
              <w:right w:val="single" w:color="auto" w:sz="4" w:space="0"/>
            </w:tcBorders>
            <w:noWrap w:val="0"/>
            <w:vAlign w:val="bottom"/>
          </w:tcPr>
          <w:p>
            <w:pPr>
              <w:widowControl/>
              <w:jc w:val="center"/>
              <w:rPr>
                <w:rFonts w:ascii="宋体" w:hAnsi="宋体" w:cs="宋体"/>
                <w:kern w:val="0"/>
                <w:sz w:val="24"/>
              </w:rPr>
            </w:pPr>
            <w:r>
              <w:rPr>
                <w:rFonts w:hint="eastAsia" w:ascii="宋体" w:hAnsi="宋体" w:cs="宋体"/>
                <w:kern w:val="0"/>
                <w:sz w:val="24"/>
              </w:rPr>
              <w:t>其他城乡社区公共设施支出</w:t>
            </w:r>
          </w:p>
        </w:tc>
        <w:tc>
          <w:tcPr>
            <w:tcW w:w="108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宋体" w:hAnsi="宋体" w:eastAsia="仿宋_GB2312" w:cs="宋体"/>
                <w:kern w:val="0"/>
                <w:sz w:val="24"/>
                <w:lang w:val="en-US" w:eastAsia="zh-CN" w:bidi="ar-SA"/>
              </w:rPr>
            </w:pPr>
            <w:r>
              <w:rPr>
                <w:rFonts w:hint="eastAsia" w:ascii="宋体" w:hAnsi="宋体" w:cs="宋体"/>
                <w:kern w:val="0"/>
                <w:sz w:val="24"/>
              </w:rPr>
              <w:t>　</w:t>
            </w:r>
            <w:r>
              <w:rPr>
                <w:rFonts w:hint="eastAsia" w:ascii="宋体" w:hAnsi="宋体" w:cs="宋体"/>
                <w:kern w:val="0"/>
                <w:sz w:val="24"/>
                <w:lang w:val="en-US" w:eastAsia="zh-CN"/>
              </w:rPr>
              <w:t>2400</w:t>
            </w: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default" w:ascii="宋体" w:hAnsi="宋体" w:eastAsia="仿宋_GB2312" w:cs="宋体"/>
                <w:kern w:val="0"/>
                <w:sz w:val="24"/>
                <w:lang w:val="en-US" w:eastAsia="zh-CN"/>
              </w:rPr>
            </w:pPr>
            <w:r>
              <w:rPr>
                <w:rFonts w:hint="eastAsia" w:ascii="宋体" w:hAnsi="宋体" w:cs="宋体"/>
                <w:kern w:val="0"/>
                <w:sz w:val="24"/>
              </w:rPr>
              <w:t>　</w:t>
            </w:r>
            <w:r>
              <w:rPr>
                <w:rFonts w:hint="eastAsia" w:ascii="宋体" w:hAnsi="宋体" w:cs="宋体"/>
                <w:kern w:val="0"/>
                <w:sz w:val="24"/>
                <w:lang w:val="en-US" w:eastAsia="zh-CN"/>
              </w:rPr>
              <w:t>2400</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2"/>
                <w:szCs w:val="22"/>
              </w:rPr>
            </w:pPr>
            <w:r>
              <w:rPr>
                <w:rFonts w:hint="eastAsia" w:ascii="宋体" w:hAnsi="宋体" w:cs="宋体"/>
                <w:kern w:val="0"/>
                <w:sz w:val="22"/>
                <w:szCs w:val="22"/>
              </w:rPr>
              <w:t>　</w:t>
            </w:r>
          </w:p>
        </w:tc>
        <w:tc>
          <w:tcPr>
            <w:tcW w:w="108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2"/>
                <w:szCs w:val="22"/>
              </w:rPr>
            </w:pPr>
            <w:r>
              <w:rPr>
                <w:rFonts w:hint="eastAsia" w:ascii="宋体" w:hAnsi="宋体" w:cs="宋体"/>
                <w:kern w:val="0"/>
                <w:sz w:val="22"/>
                <w:szCs w:val="22"/>
              </w:rPr>
              <w:t>　</w:t>
            </w:r>
          </w:p>
        </w:tc>
        <w:tc>
          <w:tcPr>
            <w:tcW w:w="108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　</w:t>
            </w:r>
          </w:p>
        </w:tc>
        <w:tc>
          <w:tcPr>
            <w:tcW w:w="39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08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6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c>
          <w:tcPr>
            <w:tcW w:w="12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0"/>
                <w:szCs w:val="20"/>
              </w:rPr>
            </w:pPr>
            <w:r>
              <w:rPr>
                <w:rFonts w:hint="eastAsia" w:ascii="宋体" w:hAnsi="宋体" w:cs="宋体"/>
                <w:kern w:val="0"/>
                <w:sz w:val="20"/>
                <w:szCs w:val="20"/>
              </w:rPr>
              <w:t>　</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　</w:t>
            </w:r>
          </w:p>
        </w:tc>
        <w:tc>
          <w:tcPr>
            <w:tcW w:w="39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08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gridAfter w:val="1"/>
          <w:wAfter w:w="366" w:type="dxa"/>
          <w:trHeight w:val="405" w:hRule="atLeast"/>
        </w:trPr>
        <w:tc>
          <w:tcPr>
            <w:tcW w:w="1188" w:type="dxa"/>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　</w:t>
            </w:r>
          </w:p>
        </w:tc>
        <w:tc>
          <w:tcPr>
            <w:tcW w:w="39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08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gridSpan w:val="2"/>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kern w:val="0"/>
                <w:sz w:val="24"/>
              </w:rPr>
            </w:pPr>
            <w:r>
              <w:rPr>
                <w:rFonts w:hint="eastAsia" w:ascii="宋体" w:hAnsi="宋体" w:cs="宋体"/>
                <w:kern w:val="0"/>
                <w:sz w:val="24"/>
              </w:rPr>
              <w:t>　</w:t>
            </w:r>
          </w:p>
        </w:tc>
      </w:tr>
      <w:tr>
        <w:tblPrEx>
          <w:tblCellMar>
            <w:top w:w="0" w:type="dxa"/>
            <w:left w:w="108" w:type="dxa"/>
            <w:bottom w:w="0" w:type="dxa"/>
            <w:right w:w="108" w:type="dxa"/>
          </w:tblCellMar>
        </w:tblPrEx>
        <w:trPr>
          <w:gridAfter w:val="1"/>
          <w:wAfter w:w="366" w:type="dxa"/>
          <w:trHeight w:val="405" w:hRule="atLeast"/>
        </w:trPr>
        <w:tc>
          <w:tcPr>
            <w:tcW w:w="5148"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合计</w:t>
            </w:r>
          </w:p>
        </w:tc>
        <w:tc>
          <w:tcPr>
            <w:tcW w:w="1080" w:type="dxa"/>
            <w:gridSpan w:val="2"/>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　</w:t>
            </w:r>
          </w:p>
        </w:tc>
        <w:tc>
          <w:tcPr>
            <w:tcW w:w="1260" w:type="dxa"/>
            <w:gridSpan w:val="2"/>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　</w:t>
            </w:r>
          </w:p>
        </w:tc>
        <w:tc>
          <w:tcPr>
            <w:tcW w:w="1260" w:type="dxa"/>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kern w:val="0"/>
                <w:sz w:val="24"/>
              </w:rPr>
            </w:pPr>
            <w:r>
              <w:rPr>
                <w:rFonts w:hint="eastAsia" w:ascii="宋体" w:hAnsi="宋体" w:cs="宋体"/>
                <w:kern w:val="0"/>
                <w:sz w:val="24"/>
              </w:rPr>
              <w:t>　</w:t>
            </w:r>
          </w:p>
        </w:tc>
      </w:tr>
    </w:tbl>
    <w:p>
      <w:pPr>
        <w:pStyle w:val="4"/>
        <w:adjustRightInd w:val="0"/>
        <w:snapToGrid w:val="0"/>
        <w:spacing w:before="0" w:beforeAutospacing="0" w:after="0" w:afterAutospacing="0" w:line="360" w:lineRule="auto"/>
        <w:jc w:val="right"/>
        <w:rPr>
          <w:rFonts w:hint="eastAsia"/>
          <w:sz w:val="20"/>
          <w:szCs w:val="20"/>
        </w:rPr>
      </w:pPr>
    </w:p>
    <w:p>
      <w:pPr>
        <w:pStyle w:val="4"/>
        <w:adjustRightInd w:val="0"/>
        <w:snapToGrid w:val="0"/>
        <w:spacing w:before="0" w:beforeAutospacing="0" w:after="0" w:afterAutospacing="0" w:line="360" w:lineRule="auto"/>
        <w:jc w:val="right"/>
        <w:rPr>
          <w:rFonts w:hint="eastAsia"/>
          <w:sz w:val="20"/>
          <w:szCs w:val="20"/>
        </w:rPr>
      </w:pPr>
    </w:p>
    <w:p>
      <w:pPr>
        <w:pStyle w:val="4"/>
        <w:adjustRightInd w:val="0"/>
        <w:snapToGrid w:val="0"/>
        <w:spacing w:before="0" w:beforeAutospacing="0" w:after="0" w:afterAutospacing="0" w:line="360" w:lineRule="auto"/>
        <w:jc w:val="right"/>
        <w:rPr>
          <w:rFonts w:hint="eastAsia"/>
          <w:sz w:val="20"/>
          <w:szCs w:val="20"/>
        </w:rPr>
      </w:pPr>
    </w:p>
    <w:p>
      <w:pPr>
        <w:pStyle w:val="4"/>
        <w:adjustRightInd w:val="0"/>
        <w:snapToGrid w:val="0"/>
        <w:spacing w:before="0" w:beforeAutospacing="0" w:after="0" w:afterAutospacing="0" w:line="360" w:lineRule="auto"/>
        <w:jc w:val="right"/>
        <w:rPr>
          <w:rFonts w:hint="eastAsia"/>
          <w:sz w:val="20"/>
          <w:szCs w:val="20"/>
        </w:rPr>
      </w:pPr>
    </w:p>
    <w:p>
      <w:pPr>
        <w:pStyle w:val="4"/>
        <w:adjustRightInd w:val="0"/>
        <w:snapToGrid w:val="0"/>
        <w:spacing w:before="0" w:beforeAutospacing="0" w:after="0" w:afterAutospacing="0" w:line="360" w:lineRule="auto"/>
        <w:jc w:val="right"/>
        <w:rPr>
          <w:rFonts w:hint="eastAsia"/>
          <w:sz w:val="20"/>
          <w:szCs w:val="20"/>
        </w:rPr>
      </w:pPr>
    </w:p>
    <w:p>
      <w:pPr>
        <w:rPr>
          <w:rFonts w:hint="eastAsia" w:ascii="黑体" w:hAnsi="黑体" w:eastAsia="黑体"/>
          <w:color w:val="0000FF"/>
          <w:szCs w:val="32"/>
        </w:rPr>
      </w:pPr>
    </w:p>
    <w:p>
      <w:pPr>
        <w:ind w:firstLine="640" w:firstLineChars="200"/>
        <w:rPr>
          <w:rFonts w:hint="eastAsia" w:ascii="黑体" w:hAnsi="黑体" w:eastAsia="黑体"/>
          <w:szCs w:val="32"/>
        </w:rPr>
      </w:pPr>
      <w:r>
        <w:rPr>
          <w:rFonts w:hint="eastAsia" w:ascii="黑体" w:hAnsi="黑体" w:eastAsia="黑体"/>
          <w:szCs w:val="32"/>
        </w:rPr>
        <w:t>第三部分 宿马现代产业园区管理委员会201</w:t>
      </w:r>
      <w:r>
        <w:rPr>
          <w:rFonts w:hint="eastAsia" w:ascii="黑体" w:hAnsi="黑体" w:eastAsia="黑体"/>
          <w:szCs w:val="32"/>
          <w:lang w:val="en-US" w:eastAsia="zh-CN"/>
        </w:rPr>
        <w:t>9</w:t>
      </w:r>
      <w:r>
        <w:rPr>
          <w:rFonts w:hint="eastAsia" w:ascii="黑体" w:hAnsi="黑体" w:eastAsia="黑体"/>
          <w:szCs w:val="32"/>
        </w:rPr>
        <w:t>年度部门</w:t>
      </w:r>
      <w:r>
        <w:rPr>
          <w:rFonts w:hint="eastAsia" w:ascii="黑体" w:hAnsi="黑体" w:eastAsia="黑体"/>
          <w:szCs w:val="32"/>
          <w:lang w:eastAsia="zh-CN"/>
        </w:rPr>
        <w:t>预算</w:t>
      </w:r>
      <w:r>
        <w:rPr>
          <w:rFonts w:hint="eastAsia" w:ascii="黑体" w:hAnsi="黑体" w:eastAsia="黑体"/>
          <w:szCs w:val="32"/>
        </w:rPr>
        <w:t>情况说明</w:t>
      </w:r>
    </w:p>
    <w:p>
      <w:pPr>
        <w:ind w:firstLine="640" w:firstLineChars="200"/>
        <w:rPr>
          <w:rFonts w:hint="eastAsia" w:ascii="黑体" w:hAnsi="黑体" w:eastAsia="黑体"/>
          <w:color w:val="00B0F0"/>
          <w:szCs w:val="32"/>
        </w:rPr>
      </w:pPr>
      <w:r>
        <w:rPr>
          <w:rFonts w:hint="eastAsia" w:ascii="黑体" w:hAnsi="黑体" w:eastAsia="黑体"/>
          <w:szCs w:val="32"/>
        </w:rPr>
        <w:t>一、收入支出</w:t>
      </w:r>
      <w:r>
        <w:rPr>
          <w:rFonts w:hint="eastAsia" w:ascii="黑体" w:hAnsi="黑体" w:eastAsia="黑体"/>
          <w:szCs w:val="32"/>
          <w:lang w:eastAsia="zh-CN"/>
        </w:rPr>
        <w:t>预</w:t>
      </w:r>
      <w:r>
        <w:rPr>
          <w:rFonts w:hint="eastAsia" w:ascii="黑体" w:hAnsi="黑体" w:eastAsia="黑体"/>
          <w:szCs w:val="32"/>
        </w:rPr>
        <w:t>算总体情况说明</w:t>
      </w:r>
    </w:p>
    <w:p>
      <w:pPr>
        <w:ind w:firstLine="640" w:firstLineChars="200"/>
        <w:rPr>
          <w:rFonts w:hint="eastAsia" w:ascii="仿宋_GB2312" w:hAnsi="仿宋"/>
          <w:szCs w:val="32"/>
          <w:lang w:eastAsia="zh-CN"/>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年度收入总计</w:t>
      </w:r>
      <w:r>
        <w:rPr>
          <w:rFonts w:hint="eastAsia" w:ascii="仿宋_GB2312" w:hAnsi="仿宋"/>
          <w:szCs w:val="32"/>
          <w:lang w:val="en-US" w:eastAsia="zh-CN"/>
        </w:rPr>
        <w:t>101848.44</w:t>
      </w:r>
      <w:r>
        <w:rPr>
          <w:rFonts w:hint="eastAsia" w:ascii="仿宋_GB2312" w:hAnsi="仿宋"/>
          <w:szCs w:val="32"/>
        </w:rPr>
        <w:t>万元（含用事业基金弥补收支差额、年初结转和结余）、支出总计</w:t>
      </w:r>
      <w:r>
        <w:rPr>
          <w:rFonts w:hint="eastAsia" w:ascii="仿宋_GB2312" w:hAnsi="仿宋"/>
          <w:szCs w:val="32"/>
          <w:lang w:val="en-US" w:eastAsia="zh-CN"/>
        </w:rPr>
        <w:t>101848.44</w:t>
      </w:r>
      <w:r>
        <w:rPr>
          <w:rFonts w:hint="eastAsia" w:ascii="仿宋_GB2312" w:hAnsi="仿宋"/>
          <w:szCs w:val="32"/>
        </w:rPr>
        <w:t>万元</w:t>
      </w:r>
      <w:r>
        <w:rPr>
          <w:rFonts w:hint="eastAsia" w:ascii="仿宋_GB2312" w:hAnsi="仿宋"/>
          <w:szCs w:val="32"/>
          <w:lang w:eastAsia="zh-CN"/>
        </w:rPr>
        <w:t>。</w:t>
      </w:r>
    </w:p>
    <w:p>
      <w:pPr>
        <w:ind w:firstLine="640" w:firstLineChars="200"/>
        <w:rPr>
          <w:rFonts w:hint="eastAsia" w:ascii="黑体" w:hAnsi="仿宋" w:eastAsia="黑体"/>
          <w:szCs w:val="32"/>
        </w:rPr>
      </w:pPr>
      <w:r>
        <w:rPr>
          <w:rFonts w:hint="eastAsia" w:ascii="黑体" w:hAnsi="仿宋" w:eastAsia="黑体"/>
          <w:szCs w:val="32"/>
        </w:rPr>
        <w:t>二、收入</w:t>
      </w:r>
      <w:r>
        <w:rPr>
          <w:rFonts w:hint="eastAsia" w:ascii="黑体" w:hAnsi="仿宋" w:eastAsia="黑体"/>
          <w:szCs w:val="32"/>
          <w:lang w:eastAsia="zh-CN"/>
        </w:rPr>
        <w:t>预算</w:t>
      </w:r>
      <w:r>
        <w:rPr>
          <w:rFonts w:hint="eastAsia" w:ascii="黑体" w:hAnsi="仿宋" w:eastAsia="黑体"/>
          <w:szCs w:val="32"/>
        </w:rPr>
        <w:t>情况说明</w:t>
      </w:r>
    </w:p>
    <w:p>
      <w:pPr>
        <w:ind w:firstLine="640" w:firstLineChars="200"/>
        <w:rPr>
          <w:rFonts w:hint="eastAsia" w:ascii="仿宋_GB2312" w:hAnsi="仿宋"/>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年度收入合计</w:t>
      </w:r>
      <w:r>
        <w:rPr>
          <w:rFonts w:hint="eastAsia" w:ascii="仿宋_GB2312" w:hAnsi="仿宋"/>
          <w:szCs w:val="32"/>
          <w:lang w:val="en-US" w:eastAsia="zh-CN"/>
        </w:rPr>
        <w:t>101848.44</w:t>
      </w:r>
      <w:r>
        <w:rPr>
          <w:rFonts w:hint="eastAsia" w:ascii="仿宋_GB2312" w:hAnsi="仿宋"/>
          <w:szCs w:val="32"/>
        </w:rPr>
        <w:t>万元，其中：财政拨款收入</w:t>
      </w:r>
      <w:r>
        <w:rPr>
          <w:rFonts w:hint="eastAsia" w:ascii="仿宋_GB2312" w:hAnsi="仿宋"/>
          <w:szCs w:val="32"/>
          <w:lang w:val="en-US" w:eastAsia="zh-CN"/>
        </w:rPr>
        <w:t>43349.2</w:t>
      </w:r>
      <w:r>
        <w:rPr>
          <w:rFonts w:hint="eastAsia" w:ascii="仿宋_GB2312" w:hAnsi="仿宋"/>
          <w:szCs w:val="32"/>
        </w:rPr>
        <w:t>万元，占</w:t>
      </w:r>
      <w:r>
        <w:rPr>
          <w:rFonts w:hint="eastAsia" w:ascii="仿宋_GB2312" w:hAnsi="仿宋"/>
          <w:szCs w:val="32"/>
          <w:lang w:val="en-US" w:eastAsia="zh-CN"/>
        </w:rPr>
        <w:t>42.56</w:t>
      </w:r>
      <w:r>
        <w:rPr>
          <w:rFonts w:hint="eastAsia" w:ascii="仿宋_GB2312" w:hAnsi="仿宋"/>
          <w:szCs w:val="32"/>
        </w:rPr>
        <w:t>%；事业收入0万元，占0%；经营收入0万元，占0%；其他收入</w:t>
      </w:r>
      <w:r>
        <w:rPr>
          <w:rFonts w:hint="eastAsia" w:ascii="仿宋_GB2312" w:hAnsi="仿宋"/>
          <w:szCs w:val="32"/>
          <w:lang w:val="en-US" w:eastAsia="zh-CN"/>
        </w:rPr>
        <w:t>58499.24</w:t>
      </w:r>
      <w:r>
        <w:rPr>
          <w:rFonts w:hint="eastAsia" w:ascii="仿宋_GB2312" w:hAnsi="仿宋"/>
          <w:szCs w:val="32"/>
        </w:rPr>
        <w:t>万元（含用事业基金弥补收支差额、年初结转和结余），占</w:t>
      </w:r>
      <w:r>
        <w:rPr>
          <w:rFonts w:hint="eastAsia" w:ascii="仿宋_GB2312" w:hAnsi="仿宋"/>
          <w:szCs w:val="32"/>
          <w:lang w:val="en-US" w:eastAsia="zh-CN"/>
        </w:rPr>
        <w:t>57.44</w:t>
      </w:r>
      <w:r>
        <w:rPr>
          <w:rFonts w:hint="eastAsia" w:ascii="仿宋_GB2312" w:hAnsi="仿宋"/>
          <w:szCs w:val="32"/>
        </w:rPr>
        <w:t>%。</w:t>
      </w:r>
    </w:p>
    <w:p>
      <w:pPr>
        <w:ind w:firstLine="640" w:firstLineChars="200"/>
        <w:rPr>
          <w:rFonts w:hint="eastAsia" w:ascii="黑体" w:hAnsi="仿宋" w:eastAsia="黑体"/>
          <w:szCs w:val="32"/>
        </w:rPr>
      </w:pPr>
      <w:r>
        <w:rPr>
          <w:rFonts w:hint="eastAsia" w:ascii="黑体" w:hAnsi="仿宋" w:eastAsia="黑体"/>
          <w:szCs w:val="32"/>
        </w:rPr>
        <w:t>三、支出</w:t>
      </w:r>
      <w:r>
        <w:rPr>
          <w:rFonts w:hint="eastAsia" w:ascii="黑体" w:hAnsi="仿宋" w:eastAsia="黑体"/>
          <w:szCs w:val="32"/>
          <w:lang w:eastAsia="zh-CN"/>
        </w:rPr>
        <w:t>预</w:t>
      </w:r>
      <w:r>
        <w:rPr>
          <w:rFonts w:hint="eastAsia" w:ascii="黑体" w:hAnsi="仿宋" w:eastAsia="黑体"/>
          <w:szCs w:val="32"/>
        </w:rPr>
        <w:t>算情况说明</w:t>
      </w:r>
    </w:p>
    <w:p>
      <w:pPr>
        <w:ind w:firstLine="640" w:firstLineChars="200"/>
        <w:rPr>
          <w:rFonts w:hint="eastAsia" w:ascii="仿宋_GB2312" w:hAnsi="仿宋"/>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年度支出合计</w:t>
      </w:r>
      <w:r>
        <w:rPr>
          <w:rFonts w:hint="eastAsia" w:ascii="仿宋_GB2312" w:hAnsi="仿宋"/>
          <w:szCs w:val="32"/>
          <w:lang w:val="en-US" w:eastAsia="zh-CN"/>
        </w:rPr>
        <w:t>101848.44</w:t>
      </w:r>
      <w:r>
        <w:rPr>
          <w:rFonts w:hint="eastAsia" w:ascii="仿宋_GB2312" w:hAnsi="仿宋"/>
          <w:szCs w:val="32"/>
        </w:rPr>
        <w:t>万元，其中：</w:t>
      </w:r>
      <w:r>
        <w:rPr>
          <w:rFonts w:hint="eastAsia" w:ascii="仿宋_GB2312" w:hAnsi="仿宋"/>
          <w:szCs w:val="32"/>
          <w:lang w:eastAsia="zh-CN"/>
        </w:rPr>
        <w:t>一般预算</w:t>
      </w:r>
      <w:r>
        <w:rPr>
          <w:rFonts w:hint="eastAsia" w:ascii="仿宋_GB2312" w:hAnsi="仿宋"/>
          <w:szCs w:val="32"/>
        </w:rPr>
        <w:t>支出</w:t>
      </w:r>
      <w:r>
        <w:rPr>
          <w:rFonts w:hint="eastAsia" w:ascii="仿宋_GB2312" w:hAnsi="仿宋"/>
          <w:szCs w:val="32"/>
          <w:lang w:val="en-US" w:eastAsia="zh-CN"/>
        </w:rPr>
        <w:t>40949.2</w:t>
      </w:r>
      <w:r>
        <w:rPr>
          <w:rFonts w:hint="eastAsia" w:ascii="仿宋_GB2312" w:hAnsi="仿宋"/>
          <w:szCs w:val="32"/>
        </w:rPr>
        <w:t>万元，占</w:t>
      </w:r>
      <w:r>
        <w:rPr>
          <w:rFonts w:hint="eastAsia" w:ascii="仿宋_GB2312" w:hAnsi="仿宋"/>
          <w:szCs w:val="32"/>
          <w:lang w:val="en-US" w:eastAsia="zh-CN"/>
        </w:rPr>
        <w:t>40.21</w:t>
      </w:r>
      <w:r>
        <w:rPr>
          <w:rFonts w:hint="eastAsia" w:ascii="仿宋_GB2312" w:hAnsi="仿宋"/>
          <w:szCs w:val="32"/>
        </w:rPr>
        <w:t>%；</w:t>
      </w:r>
      <w:r>
        <w:rPr>
          <w:rFonts w:hint="eastAsia" w:ascii="仿宋_GB2312" w:hAnsi="仿宋"/>
          <w:szCs w:val="32"/>
          <w:lang w:eastAsia="zh-CN"/>
        </w:rPr>
        <w:t>基金</w:t>
      </w:r>
      <w:r>
        <w:rPr>
          <w:rFonts w:hint="eastAsia" w:ascii="仿宋_GB2312" w:hAnsi="仿宋"/>
          <w:szCs w:val="32"/>
        </w:rPr>
        <w:t>支出</w:t>
      </w:r>
      <w:r>
        <w:rPr>
          <w:rFonts w:hint="eastAsia" w:ascii="仿宋_GB2312" w:hAnsi="仿宋"/>
          <w:szCs w:val="32"/>
          <w:lang w:val="en-US" w:eastAsia="zh-CN"/>
        </w:rPr>
        <w:t>2400</w:t>
      </w:r>
      <w:r>
        <w:rPr>
          <w:rFonts w:hint="eastAsia" w:ascii="仿宋_GB2312" w:hAnsi="仿宋"/>
          <w:szCs w:val="32"/>
        </w:rPr>
        <w:t>万元，占</w:t>
      </w:r>
      <w:r>
        <w:rPr>
          <w:rFonts w:hint="eastAsia" w:ascii="仿宋_GB2312" w:hAnsi="仿宋"/>
          <w:szCs w:val="32"/>
          <w:lang w:val="en-US" w:eastAsia="zh-CN"/>
        </w:rPr>
        <w:t>2.36</w:t>
      </w:r>
      <w:r>
        <w:rPr>
          <w:rFonts w:hint="eastAsia" w:ascii="仿宋_GB2312" w:hAnsi="仿宋"/>
          <w:szCs w:val="32"/>
        </w:rPr>
        <w:t>%；</w:t>
      </w:r>
      <w:r>
        <w:rPr>
          <w:rFonts w:hint="eastAsia" w:ascii="仿宋_GB2312" w:hAnsi="仿宋"/>
          <w:szCs w:val="32"/>
          <w:lang w:eastAsia="zh-CN"/>
        </w:rPr>
        <w:t>其他</w:t>
      </w:r>
      <w:r>
        <w:rPr>
          <w:rFonts w:hint="eastAsia" w:ascii="仿宋_GB2312" w:hAnsi="仿宋"/>
          <w:szCs w:val="32"/>
        </w:rPr>
        <w:t>支出</w:t>
      </w:r>
      <w:r>
        <w:rPr>
          <w:rFonts w:hint="eastAsia" w:ascii="仿宋_GB2312" w:hAnsi="仿宋"/>
          <w:szCs w:val="32"/>
          <w:lang w:val="en-US" w:eastAsia="zh-CN"/>
        </w:rPr>
        <w:t>58499.24</w:t>
      </w:r>
      <w:r>
        <w:rPr>
          <w:rFonts w:hint="eastAsia" w:ascii="仿宋_GB2312" w:hAnsi="仿宋"/>
          <w:szCs w:val="32"/>
        </w:rPr>
        <w:t>万元，占</w:t>
      </w:r>
      <w:r>
        <w:rPr>
          <w:rFonts w:hint="eastAsia" w:ascii="仿宋_GB2312" w:hAnsi="仿宋"/>
          <w:szCs w:val="32"/>
          <w:lang w:val="en-US" w:eastAsia="zh-CN"/>
        </w:rPr>
        <w:t>57.43</w:t>
      </w:r>
      <w:r>
        <w:rPr>
          <w:rFonts w:hint="eastAsia" w:ascii="仿宋_GB2312" w:hAnsi="仿宋"/>
          <w:szCs w:val="32"/>
        </w:rPr>
        <w:t>%。</w:t>
      </w:r>
    </w:p>
    <w:p>
      <w:pPr>
        <w:ind w:firstLine="640" w:firstLineChars="200"/>
        <w:rPr>
          <w:rFonts w:hint="eastAsia" w:ascii="黑体" w:hAnsi="仿宋" w:eastAsia="黑体"/>
          <w:szCs w:val="32"/>
        </w:rPr>
      </w:pPr>
      <w:r>
        <w:rPr>
          <w:rFonts w:hint="eastAsia" w:ascii="黑体" w:hAnsi="仿宋" w:eastAsia="黑体"/>
          <w:szCs w:val="32"/>
        </w:rPr>
        <w:t>四、</w:t>
      </w:r>
      <w:r>
        <w:rPr>
          <w:rFonts w:hint="eastAsia" w:ascii="黑体" w:eastAsia="黑体"/>
          <w:szCs w:val="32"/>
        </w:rPr>
        <w:t>财政拨款收入支出</w:t>
      </w:r>
      <w:r>
        <w:rPr>
          <w:rFonts w:hint="eastAsia" w:ascii="黑体" w:eastAsia="黑体"/>
          <w:szCs w:val="32"/>
          <w:lang w:eastAsia="zh-CN"/>
        </w:rPr>
        <w:t>预</w:t>
      </w:r>
      <w:r>
        <w:rPr>
          <w:rFonts w:hint="eastAsia" w:ascii="黑体" w:eastAsia="黑体"/>
          <w:szCs w:val="32"/>
        </w:rPr>
        <w:t>算总体情况说明</w:t>
      </w:r>
    </w:p>
    <w:p>
      <w:pPr>
        <w:ind w:firstLine="640" w:firstLineChars="200"/>
        <w:rPr>
          <w:rFonts w:hint="eastAsia" w:ascii="仿宋_GB2312" w:hAnsi="仿宋"/>
          <w:szCs w:val="32"/>
          <w:lang w:eastAsia="zh-CN"/>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年度财政拨款收入总计</w:t>
      </w:r>
      <w:r>
        <w:rPr>
          <w:rFonts w:hint="eastAsia" w:ascii="仿宋_GB2312" w:hAnsi="仿宋"/>
          <w:szCs w:val="32"/>
          <w:lang w:val="en-US" w:eastAsia="zh-CN"/>
        </w:rPr>
        <w:t>43349.2</w:t>
      </w:r>
      <w:r>
        <w:rPr>
          <w:rFonts w:hint="eastAsia" w:ascii="仿宋_GB2312" w:hAnsi="仿宋"/>
          <w:szCs w:val="32"/>
        </w:rPr>
        <w:t>万元，支出总计</w:t>
      </w:r>
      <w:r>
        <w:rPr>
          <w:rFonts w:hint="eastAsia" w:ascii="仿宋_GB2312" w:hAnsi="仿宋"/>
          <w:szCs w:val="32"/>
          <w:lang w:val="en-US" w:eastAsia="zh-CN"/>
        </w:rPr>
        <w:t>43349.2</w:t>
      </w:r>
      <w:r>
        <w:rPr>
          <w:rFonts w:hint="eastAsia" w:ascii="仿宋_GB2312" w:hAnsi="仿宋"/>
          <w:szCs w:val="32"/>
        </w:rPr>
        <w:t>万元</w:t>
      </w:r>
      <w:r>
        <w:rPr>
          <w:rFonts w:hint="eastAsia" w:ascii="仿宋_GB2312" w:hAnsi="仿宋"/>
          <w:szCs w:val="32"/>
          <w:lang w:eastAsia="zh-CN"/>
        </w:rPr>
        <w:t>。</w:t>
      </w:r>
    </w:p>
    <w:p>
      <w:pPr>
        <w:ind w:firstLine="640" w:firstLineChars="200"/>
        <w:rPr>
          <w:rFonts w:hint="eastAsia" w:ascii="黑体" w:hAnsi="仿宋" w:eastAsia="黑体"/>
          <w:szCs w:val="32"/>
        </w:rPr>
      </w:pPr>
      <w:r>
        <w:rPr>
          <w:rFonts w:hint="eastAsia" w:ascii="黑体" w:hAnsi="仿宋" w:eastAsia="黑体"/>
          <w:szCs w:val="32"/>
        </w:rPr>
        <w:t>五、一般公共预算财政拨款收入支出</w:t>
      </w:r>
      <w:r>
        <w:rPr>
          <w:rFonts w:hint="eastAsia" w:ascii="黑体" w:hAnsi="仿宋" w:eastAsia="黑体"/>
          <w:szCs w:val="32"/>
          <w:lang w:eastAsia="zh-CN"/>
        </w:rPr>
        <w:t>预</w:t>
      </w:r>
      <w:r>
        <w:rPr>
          <w:rFonts w:hint="eastAsia" w:ascii="黑体" w:hAnsi="仿宋" w:eastAsia="黑体"/>
          <w:szCs w:val="32"/>
        </w:rPr>
        <w:t>算情况说明</w:t>
      </w:r>
    </w:p>
    <w:p>
      <w:pPr>
        <w:ind w:firstLine="643" w:firstLineChars="200"/>
        <w:rPr>
          <w:rFonts w:hint="eastAsia" w:ascii="仿宋_GB2312" w:hAnsi="仿宋"/>
          <w:b/>
          <w:szCs w:val="32"/>
        </w:rPr>
      </w:pPr>
      <w:r>
        <w:rPr>
          <w:rFonts w:hint="eastAsia" w:ascii="仿宋_GB2312" w:hAnsi="仿宋"/>
          <w:b/>
          <w:szCs w:val="32"/>
        </w:rPr>
        <w:t>（一） 一般公共预算财政拨款收入</w:t>
      </w:r>
      <w:r>
        <w:rPr>
          <w:rFonts w:hint="eastAsia" w:ascii="仿宋_GB2312" w:hAnsi="仿宋"/>
          <w:b/>
          <w:szCs w:val="32"/>
          <w:lang w:eastAsia="zh-CN"/>
        </w:rPr>
        <w:t>预</w:t>
      </w:r>
      <w:r>
        <w:rPr>
          <w:rFonts w:hint="eastAsia" w:ascii="仿宋_GB2312" w:hAnsi="仿宋"/>
          <w:b/>
          <w:szCs w:val="32"/>
        </w:rPr>
        <w:t>算总体情况。</w:t>
      </w:r>
    </w:p>
    <w:p>
      <w:pPr>
        <w:ind w:firstLine="640" w:firstLineChars="200"/>
        <w:rPr>
          <w:rFonts w:hint="eastAsia" w:ascii="仿宋_GB2312" w:hAnsi="仿宋"/>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年度一般公共预算财政拨款收入</w:t>
      </w:r>
      <w:r>
        <w:rPr>
          <w:rFonts w:hint="eastAsia" w:ascii="仿宋_GB2312" w:hAnsi="仿宋"/>
          <w:szCs w:val="32"/>
          <w:lang w:val="en-US" w:eastAsia="zh-CN"/>
        </w:rPr>
        <w:t>43349.2</w:t>
      </w:r>
      <w:r>
        <w:rPr>
          <w:rFonts w:hint="eastAsia" w:ascii="仿宋_GB2312" w:hAnsi="仿宋"/>
          <w:szCs w:val="32"/>
        </w:rPr>
        <w:t>万元，占本年收入的</w:t>
      </w:r>
      <w:r>
        <w:rPr>
          <w:rFonts w:hint="eastAsia" w:ascii="仿宋_GB2312" w:hAnsi="仿宋"/>
          <w:szCs w:val="32"/>
          <w:lang w:val="en-US" w:eastAsia="zh-CN"/>
        </w:rPr>
        <w:t>94.46</w:t>
      </w:r>
      <w:r>
        <w:rPr>
          <w:rFonts w:hint="eastAsia" w:ascii="仿宋_GB2312" w:hAnsi="仿宋"/>
          <w:szCs w:val="32"/>
        </w:rPr>
        <w:t>%。</w:t>
      </w:r>
    </w:p>
    <w:p>
      <w:pPr>
        <w:ind w:firstLine="643" w:firstLineChars="200"/>
        <w:rPr>
          <w:rFonts w:hint="eastAsia" w:ascii="仿宋_GB2312" w:hAnsi="仿宋"/>
          <w:b/>
          <w:szCs w:val="32"/>
        </w:rPr>
      </w:pPr>
      <w:r>
        <w:rPr>
          <w:rFonts w:hint="eastAsia" w:ascii="仿宋_GB2312" w:hAnsi="仿宋"/>
          <w:b/>
          <w:szCs w:val="32"/>
        </w:rPr>
        <w:t>（二）一般公共预算财政拨款支出</w:t>
      </w:r>
      <w:r>
        <w:rPr>
          <w:rFonts w:hint="eastAsia" w:ascii="仿宋_GB2312" w:hAnsi="仿宋"/>
          <w:b/>
          <w:szCs w:val="32"/>
          <w:lang w:eastAsia="zh-CN"/>
        </w:rPr>
        <w:t>预算</w:t>
      </w:r>
      <w:r>
        <w:rPr>
          <w:rFonts w:hint="eastAsia" w:ascii="仿宋_GB2312" w:hAnsi="仿宋"/>
          <w:b/>
          <w:szCs w:val="32"/>
        </w:rPr>
        <w:t>总体情况。</w:t>
      </w:r>
    </w:p>
    <w:p>
      <w:pPr>
        <w:ind w:firstLine="640" w:firstLineChars="200"/>
        <w:rPr>
          <w:rFonts w:hint="eastAsia" w:ascii="仿宋_GB2312" w:hAnsi="仿宋"/>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年度一般公</w:t>
      </w:r>
      <w:bookmarkStart w:id="0" w:name="_GoBack"/>
      <w:bookmarkEnd w:id="0"/>
      <w:r>
        <w:rPr>
          <w:rFonts w:hint="eastAsia" w:ascii="仿宋_GB2312" w:hAnsi="仿宋"/>
          <w:szCs w:val="32"/>
        </w:rPr>
        <w:t>共预算财政拨款支出</w:t>
      </w:r>
      <w:r>
        <w:rPr>
          <w:rFonts w:hint="eastAsia" w:ascii="仿宋_GB2312" w:hAnsi="仿宋"/>
          <w:szCs w:val="32"/>
          <w:lang w:val="en-US" w:eastAsia="zh-CN"/>
        </w:rPr>
        <w:t>43349.2</w:t>
      </w:r>
      <w:r>
        <w:rPr>
          <w:rFonts w:hint="eastAsia" w:ascii="仿宋_GB2312" w:hAnsi="仿宋"/>
          <w:szCs w:val="32"/>
        </w:rPr>
        <w:t>万元，占本年支出的</w:t>
      </w:r>
      <w:r>
        <w:rPr>
          <w:rFonts w:hint="eastAsia" w:ascii="仿宋_GB2312" w:hAnsi="仿宋"/>
          <w:szCs w:val="32"/>
          <w:lang w:val="en-US" w:eastAsia="zh-CN"/>
        </w:rPr>
        <w:t>94.46</w:t>
      </w:r>
      <w:r>
        <w:rPr>
          <w:rFonts w:hint="eastAsia" w:ascii="仿宋_GB2312" w:hAnsi="仿宋"/>
          <w:szCs w:val="32"/>
        </w:rPr>
        <w:t>%。</w:t>
      </w:r>
    </w:p>
    <w:p>
      <w:pPr>
        <w:ind w:firstLine="643" w:firstLineChars="200"/>
        <w:rPr>
          <w:rFonts w:hint="eastAsia" w:ascii="仿宋_GB2312" w:hAnsi="仿宋"/>
          <w:b/>
          <w:bCs/>
          <w:szCs w:val="32"/>
        </w:rPr>
      </w:pPr>
      <w:r>
        <w:rPr>
          <w:rFonts w:hint="eastAsia" w:ascii="仿宋_GB2312" w:hAnsi="仿宋"/>
          <w:b/>
          <w:szCs w:val="32"/>
        </w:rPr>
        <w:t>（三）一般公共预算财政拨款支出</w:t>
      </w:r>
      <w:r>
        <w:rPr>
          <w:rFonts w:hint="eastAsia" w:ascii="仿宋_GB2312" w:hAnsi="仿宋"/>
          <w:b/>
          <w:szCs w:val="32"/>
          <w:lang w:eastAsia="zh-CN"/>
        </w:rPr>
        <w:t>预</w:t>
      </w:r>
      <w:r>
        <w:rPr>
          <w:rFonts w:hint="eastAsia" w:ascii="仿宋_GB2312" w:hAnsi="仿宋"/>
          <w:b/>
          <w:szCs w:val="32"/>
        </w:rPr>
        <w:t>算结构情况。</w:t>
      </w:r>
    </w:p>
    <w:p>
      <w:pPr>
        <w:ind w:firstLine="640" w:firstLineChars="200"/>
        <w:rPr>
          <w:rFonts w:hint="eastAsia" w:ascii="仿宋_GB2312" w:hAnsi="仿宋"/>
          <w:szCs w:val="32"/>
          <w:lang w:val="en-US" w:eastAsia="zh-CN"/>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年一般公共预算财政拨款支出</w:t>
      </w:r>
      <w:r>
        <w:rPr>
          <w:rFonts w:hint="eastAsia" w:ascii="仿宋_GB2312" w:hAnsi="仿宋"/>
          <w:szCs w:val="32"/>
          <w:lang w:val="en-US" w:eastAsia="zh-CN"/>
        </w:rPr>
        <w:t>43349.2</w:t>
      </w:r>
      <w:r>
        <w:rPr>
          <w:rFonts w:hint="eastAsia" w:ascii="仿宋_GB2312" w:hAnsi="仿宋"/>
          <w:szCs w:val="32"/>
        </w:rPr>
        <w:t>万元，主要用于以下方面：</w:t>
      </w:r>
      <w:r>
        <w:rPr>
          <w:rFonts w:hint="eastAsia" w:ascii="仿宋_GB2312" w:hAnsi="仿宋"/>
          <w:b/>
          <w:szCs w:val="32"/>
        </w:rPr>
        <w:t>一般公共服务（类）</w:t>
      </w:r>
      <w:r>
        <w:rPr>
          <w:rFonts w:hint="eastAsia" w:ascii="仿宋_GB2312" w:hAnsi="仿宋"/>
          <w:szCs w:val="32"/>
        </w:rPr>
        <w:t>支出</w:t>
      </w:r>
      <w:r>
        <w:rPr>
          <w:rFonts w:hint="eastAsia" w:ascii="仿宋_GB2312" w:hAnsi="仿宋"/>
          <w:szCs w:val="32"/>
          <w:lang w:val="en-US" w:eastAsia="zh-CN"/>
        </w:rPr>
        <w:t>4086</w:t>
      </w:r>
      <w:r>
        <w:rPr>
          <w:rFonts w:hint="eastAsia" w:ascii="仿宋_GB2312" w:hAnsi="仿宋"/>
          <w:szCs w:val="32"/>
        </w:rPr>
        <w:t>万元，占</w:t>
      </w:r>
      <w:r>
        <w:rPr>
          <w:rFonts w:hint="eastAsia" w:ascii="仿宋_GB2312" w:hAnsi="仿宋"/>
          <w:szCs w:val="32"/>
          <w:lang w:val="en-US" w:eastAsia="zh-CN"/>
        </w:rPr>
        <w:t>9.43</w:t>
      </w:r>
      <w:r>
        <w:rPr>
          <w:rFonts w:hint="eastAsia" w:ascii="仿宋_GB2312" w:hAnsi="仿宋"/>
          <w:szCs w:val="32"/>
        </w:rPr>
        <w:t>%;</w:t>
      </w:r>
      <w:r>
        <w:rPr>
          <w:rFonts w:hint="eastAsia" w:ascii="仿宋_GB2312" w:hAnsi="仿宋"/>
          <w:b/>
          <w:szCs w:val="32"/>
        </w:rPr>
        <w:t>公共安全支出（类）</w:t>
      </w:r>
      <w:r>
        <w:rPr>
          <w:rFonts w:hint="eastAsia" w:ascii="仿宋_GB2312" w:hAnsi="仿宋"/>
          <w:szCs w:val="32"/>
        </w:rPr>
        <w:t>支出</w:t>
      </w:r>
      <w:r>
        <w:rPr>
          <w:rFonts w:hint="eastAsia" w:ascii="仿宋_GB2312" w:hAnsi="仿宋"/>
          <w:szCs w:val="32"/>
          <w:lang w:val="en-US" w:eastAsia="zh-CN"/>
        </w:rPr>
        <w:t>1069.5</w:t>
      </w:r>
      <w:r>
        <w:rPr>
          <w:rFonts w:hint="eastAsia" w:ascii="仿宋_GB2312" w:hAnsi="仿宋"/>
          <w:szCs w:val="32"/>
        </w:rPr>
        <w:t>万元，占</w:t>
      </w:r>
      <w:r>
        <w:rPr>
          <w:rFonts w:hint="eastAsia" w:ascii="仿宋_GB2312" w:hAnsi="仿宋"/>
          <w:szCs w:val="32"/>
          <w:lang w:val="en-US" w:eastAsia="zh-CN"/>
        </w:rPr>
        <w:t>2.47</w:t>
      </w:r>
      <w:r>
        <w:rPr>
          <w:rFonts w:hint="eastAsia" w:ascii="仿宋_GB2312" w:hAnsi="仿宋"/>
          <w:szCs w:val="32"/>
        </w:rPr>
        <w:t>%;</w:t>
      </w:r>
      <w:r>
        <w:rPr>
          <w:rFonts w:hint="eastAsia" w:ascii="仿宋_GB2312" w:hAnsi="仿宋"/>
          <w:b/>
          <w:szCs w:val="32"/>
        </w:rPr>
        <w:t>教育（类）</w:t>
      </w:r>
      <w:r>
        <w:rPr>
          <w:rFonts w:hint="eastAsia" w:ascii="仿宋_GB2312" w:hAnsi="仿宋"/>
          <w:szCs w:val="32"/>
        </w:rPr>
        <w:t>支出</w:t>
      </w:r>
      <w:r>
        <w:rPr>
          <w:rFonts w:hint="eastAsia" w:ascii="仿宋_GB2312" w:hAnsi="仿宋"/>
          <w:szCs w:val="32"/>
          <w:lang w:val="en-US" w:eastAsia="zh-CN"/>
        </w:rPr>
        <w:t>2100</w:t>
      </w:r>
      <w:r>
        <w:rPr>
          <w:rFonts w:hint="eastAsia" w:ascii="仿宋_GB2312" w:hAnsi="仿宋"/>
          <w:szCs w:val="32"/>
        </w:rPr>
        <w:t>万元，占</w:t>
      </w:r>
      <w:r>
        <w:rPr>
          <w:rFonts w:hint="eastAsia" w:ascii="仿宋_GB2312" w:hAnsi="仿宋"/>
          <w:szCs w:val="32"/>
          <w:lang w:val="en-US" w:eastAsia="zh-CN"/>
        </w:rPr>
        <w:t>4.84</w:t>
      </w:r>
      <w:r>
        <w:rPr>
          <w:rFonts w:hint="eastAsia" w:ascii="仿宋_GB2312" w:hAnsi="仿宋"/>
          <w:szCs w:val="32"/>
        </w:rPr>
        <w:t>%；</w:t>
      </w:r>
      <w:r>
        <w:rPr>
          <w:rFonts w:hint="eastAsia" w:ascii="仿宋_GB2312" w:hAnsi="仿宋"/>
          <w:b/>
          <w:szCs w:val="32"/>
        </w:rPr>
        <w:t>社会保障和就业（类）</w:t>
      </w:r>
      <w:r>
        <w:rPr>
          <w:rFonts w:hint="eastAsia" w:ascii="仿宋_GB2312" w:hAnsi="仿宋"/>
          <w:szCs w:val="32"/>
        </w:rPr>
        <w:t>支出</w:t>
      </w:r>
      <w:r>
        <w:rPr>
          <w:rFonts w:hint="eastAsia" w:ascii="仿宋_GB2312" w:hAnsi="仿宋"/>
          <w:szCs w:val="32"/>
          <w:lang w:val="en-US" w:eastAsia="zh-CN"/>
        </w:rPr>
        <w:t>85.57</w:t>
      </w:r>
      <w:r>
        <w:rPr>
          <w:rFonts w:hint="eastAsia" w:ascii="仿宋_GB2312" w:hAnsi="仿宋"/>
          <w:szCs w:val="32"/>
        </w:rPr>
        <w:t>万元，占</w:t>
      </w:r>
      <w:r>
        <w:rPr>
          <w:rFonts w:hint="eastAsia" w:ascii="仿宋_GB2312" w:hAnsi="仿宋"/>
          <w:szCs w:val="32"/>
          <w:lang w:val="en-US" w:eastAsia="zh-CN"/>
        </w:rPr>
        <w:t>0.02</w:t>
      </w:r>
      <w:r>
        <w:rPr>
          <w:rFonts w:hint="eastAsia" w:ascii="仿宋_GB2312" w:hAnsi="仿宋"/>
          <w:szCs w:val="32"/>
        </w:rPr>
        <w:t>%；</w:t>
      </w:r>
      <w:r>
        <w:rPr>
          <w:rFonts w:hint="eastAsia" w:ascii="仿宋_GB2312" w:hAnsi="仿宋"/>
          <w:b/>
          <w:szCs w:val="32"/>
          <w:lang w:val="en-US" w:eastAsia="zh-CN"/>
        </w:rPr>
        <w:t>卫生健康</w:t>
      </w:r>
      <w:r>
        <w:rPr>
          <w:rFonts w:hint="eastAsia" w:ascii="仿宋_GB2312" w:hAnsi="仿宋"/>
          <w:b/>
          <w:szCs w:val="32"/>
        </w:rPr>
        <w:t>（类）</w:t>
      </w:r>
      <w:r>
        <w:rPr>
          <w:rFonts w:hint="eastAsia" w:ascii="仿宋_GB2312" w:hAnsi="仿宋"/>
          <w:szCs w:val="32"/>
        </w:rPr>
        <w:t>支出</w:t>
      </w:r>
      <w:r>
        <w:rPr>
          <w:rFonts w:hint="eastAsia" w:ascii="仿宋_GB2312" w:hAnsi="仿宋"/>
          <w:szCs w:val="32"/>
          <w:lang w:val="en-US" w:eastAsia="zh-CN"/>
        </w:rPr>
        <w:t>113.7万元，占0.03%；</w:t>
      </w:r>
      <w:r>
        <w:rPr>
          <w:rFonts w:hint="eastAsia" w:ascii="仿宋_GB2312" w:hAnsi="仿宋"/>
          <w:b/>
          <w:szCs w:val="32"/>
        </w:rPr>
        <w:t>节能环保（类）</w:t>
      </w:r>
      <w:r>
        <w:rPr>
          <w:rFonts w:hint="eastAsia" w:ascii="仿宋_GB2312" w:hAnsi="仿宋"/>
          <w:szCs w:val="32"/>
        </w:rPr>
        <w:t>支出</w:t>
      </w:r>
      <w:r>
        <w:rPr>
          <w:rFonts w:hint="eastAsia" w:ascii="仿宋_GB2312" w:hAnsi="仿宋"/>
          <w:szCs w:val="32"/>
          <w:lang w:val="en-US" w:eastAsia="zh-CN"/>
        </w:rPr>
        <w:t>2162</w:t>
      </w:r>
      <w:r>
        <w:rPr>
          <w:rFonts w:hint="eastAsia" w:ascii="仿宋_GB2312" w:hAnsi="仿宋"/>
          <w:szCs w:val="32"/>
        </w:rPr>
        <w:t>万元，占</w:t>
      </w:r>
      <w:r>
        <w:rPr>
          <w:rFonts w:hint="eastAsia" w:ascii="仿宋_GB2312" w:hAnsi="仿宋"/>
          <w:szCs w:val="32"/>
          <w:lang w:val="en-US" w:eastAsia="zh-CN"/>
        </w:rPr>
        <w:t>4.99</w:t>
      </w:r>
      <w:r>
        <w:rPr>
          <w:rFonts w:hint="eastAsia" w:ascii="仿宋_GB2312" w:hAnsi="仿宋"/>
          <w:szCs w:val="32"/>
        </w:rPr>
        <w:t>%；</w:t>
      </w:r>
      <w:r>
        <w:rPr>
          <w:rFonts w:hint="eastAsia" w:ascii="仿宋_GB2312" w:hAnsi="仿宋"/>
          <w:b/>
          <w:szCs w:val="32"/>
          <w:lang w:val="en-US" w:eastAsia="zh-CN"/>
        </w:rPr>
        <w:t>城乡社区（类）</w:t>
      </w:r>
      <w:r>
        <w:rPr>
          <w:rFonts w:hint="eastAsia" w:ascii="仿宋_GB2312" w:hAnsi="仿宋"/>
          <w:szCs w:val="32"/>
        </w:rPr>
        <w:t>支出</w:t>
      </w:r>
      <w:r>
        <w:rPr>
          <w:rFonts w:hint="eastAsia" w:ascii="仿宋_GB2312" w:hAnsi="仿宋"/>
          <w:szCs w:val="32"/>
          <w:lang w:val="en-US" w:eastAsia="zh-CN"/>
        </w:rPr>
        <w:t>29061.04</w:t>
      </w:r>
      <w:r>
        <w:rPr>
          <w:rFonts w:hint="eastAsia" w:ascii="仿宋_GB2312" w:hAnsi="仿宋"/>
          <w:szCs w:val="32"/>
        </w:rPr>
        <w:t>万元，占</w:t>
      </w:r>
      <w:r>
        <w:rPr>
          <w:rFonts w:hint="eastAsia" w:ascii="仿宋_GB2312" w:hAnsi="仿宋"/>
          <w:szCs w:val="32"/>
          <w:lang w:val="en-US" w:eastAsia="zh-CN"/>
        </w:rPr>
        <w:t>67.04</w:t>
      </w:r>
      <w:r>
        <w:rPr>
          <w:rFonts w:hint="eastAsia" w:ascii="仿宋_GB2312" w:hAnsi="仿宋"/>
          <w:szCs w:val="32"/>
        </w:rPr>
        <w:t>%；</w:t>
      </w:r>
      <w:r>
        <w:rPr>
          <w:rFonts w:hint="eastAsia" w:ascii="仿宋_GB2312" w:hAnsi="仿宋"/>
          <w:b/>
          <w:szCs w:val="32"/>
        </w:rPr>
        <w:t>农林水（类）</w:t>
      </w:r>
      <w:r>
        <w:rPr>
          <w:rFonts w:hint="eastAsia" w:ascii="仿宋_GB2312" w:hAnsi="仿宋"/>
          <w:szCs w:val="32"/>
        </w:rPr>
        <w:t>支出</w:t>
      </w:r>
      <w:r>
        <w:rPr>
          <w:rFonts w:hint="eastAsia" w:ascii="仿宋_GB2312" w:hAnsi="仿宋"/>
          <w:szCs w:val="32"/>
          <w:lang w:val="en-US" w:eastAsia="zh-CN"/>
        </w:rPr>
        <w:t>1825.07</w:t>
      </w:r>
      <w:r>
        <w:rPr>
          <w:rFonts w:hint="eastAsia" w:ascii="仿宋_GB2312" w:hAnsi="仿宋"/>
          <w:szCs w:val="32"/>
        </w:rPr>
        <w:t>万元，占</w:t>
      </w:r>
      <w:r>
        <w:rPr>
          <w:rFonts w:hint="eastAsia" w:ascii="仿宋_GB2312" w:hAnsi="仿宋"/>
          <w:szCs w:val="32"/>
          <w:lang w:val="en-US" w:eastAsia="zh-CN"/>
        </w:rPr>
        <w:t>4.21</w:t>
      </w:r>
      <w:r>
        <w:rPr>
          <w:rFonts w:hint="eastAsia" w:ascii="仿宋_GB2312" w:hAnsi="仿宋"/>
          <w:szCs w:val="32"/>
        </w:rPr>
        <w:t>%；</w:t>
      </w:r>
      <w:r>
        <w:rPr>
          <w:rFonts w:hint="eastAsia" w:ascii="仿宋_GB2312" w:hAnsi="仿宋"/>
          <w:b/>
          <w:szCs w:val="32"/>
          <w:lang w:val="en-US" w:eastAsia="zh-CN"/>
        </w:rPr>
        <w:t>交通运输</w:t>
      </w:r>
      <w:r>
        <w:rPr>
          <w:rFonts w:hint="eastAsia" w:ascii="仿宋_GB2312" w:hAnsi="仿宋"/>
          <w:b/>
          <w:szCs w:val="32"/>
        </w:rPr>
        <w:t>（类）</w:t>
      </w:r>
      <w:r>
        <w:rPr>
          <w:rFonts w:hint="eastAsia" w:ascii="仿宋_GB2312" w:hAnsi="仿宋"/>
          <w:szCs w:val="32"/>
        </w:rPr>
        <w:t>支出</w:t>
      </w:r>
      <w:r>
        <w:rPr>
          <w:rFonts w:hint="eastAsia" w:ascii="仿宋_GB2312" w:hAnsi="仿宋"/>
          <w:szCs w:val="32"/>
          <w:lang w:val="en-US" w:eastAsia="zh-CN"/>
        </w:rPr>
        <w:t>27.85万元，占0.06%；</w:t>
      </w:r>
      <w:r>
        <w:rPr>
          <w:rFonts w:hint="eastAsia" w:ascii="仿宋_GB2312" w:hAnsi="仿宋"/>
          <w:b/>
          <w:szCs w:val="32"/>
        </w:rPr>
        <w:t>国土海洋气象等（类）</w:t>
      </w:r>
      <w:r>
        <w:rPr>
          <w:rFonts w:hint="eastAsia" w:ascii="仿宋_GB2312" w:hAnsi="仿宋"/>
          <w:szCs w:val="32"/>
        </w:rPr>
        <w:t>支出</w:t>
      </w:r>
      <w:r>
        <w:rPr>
          <w:rFonts w:hint="eastAsia" w:ascii="仿宋_GB2312" w:hAnsi="仿宋"/>
          <w:szCs w:val="32"/>
          <w:lang w:val="en-US" w:eastAsia="zh-CN"/>
        </w:rPr>
        <w:t>49.39</w:t>
      </w:r>
      <w:r>
        <w:rPr>
          <w:rFonts w:hint="eastAsia" w:ascii="仿宋_GB2312" w:hAnsi="仿宋"/>
          <w:szCs w:val="32"/>
        </w:rPr>
        <w:t>万元，占</w:t>
      </w:r>
      <w:r>
        <w:rPr>
          <w:rFonts w:hint="eastAsia" w:ascii="仿宋_GB2312" w:hAnsi="仿宋"/>
          <w:szCs w:val="32"/>
          <w:lang w:val="en-US" w:eastAsia="zh-CN"/>
        </w:rPr>
        <w:t>0.11</w:t>
      </w:r>
      <w:r>
        <w:rPr>
          <w:rFonts w:hint="eastAsia" w:ascii="仿宋_GB2312" w:hAnsi="仿宋"/>
          <w:szCs w:val="32"/>
        </w:rPr>
        <w:t>%</w:t>
      </w:r>
      <w:r>
        <w:rPr>
          <w:rFonts w:hint="eastAsia" w:ascii="仿宋_GB2312" w:hAnsi="仿宋"/>
          <w:szCs w:val="32"/>
          <w:lang w:eastAsia="zh-CN"/>
        </w:rPr>
        <w:t>；</w:t>
      </w:r>
      <w:r>
        <w:rPr>
          <w:rFonts w:hint="eastAsia" w:ascii="仿宋_GB2312" w:hAnsi="仿宋"/>
          <w:szCs w:val="32"/>
          <w:lang w:val="en-US" w:eastAsia="zh-CN"/>
        </w:rPr>
        <w:t>灾害防治及应急管理</w:t>
      </w:r>
      <w:r>
        <w:rPr>
          <w:rFonts w:hint="eastAsia" w:ascii="仿宋_GB2312" w:hAnsi="仿宋"/>
          <w:b/>
          <w:szCs w:val="32"/>
        </w:rPr>
        <w:t>（类）</w:t>
      </w:r>
      <w:r>
        <w:rPr>
          <w:rFonts w:hint="eastAsia" w:ascii="仿宋_GB2312" w:hAnsi="仿宋"/>
          <w:szCs w:val="32"/>
        </w:rPr>
        <w:t>支出</w:t>
      </w:r>
      <w:r>
        <w:rPr>
          <w:rFonts w:hint="eastAsia" w:ascii="仿宋_GB2312" w:hAnsi="仿宋"/>
          <w:szCs w:val="32"/>
          <w:lang w:val="en-US" w:eastAsia="zh-CN"/>
        </w:rPr>
        <w:t>369.08</w:t>
      </w:r>
      <w:r>
        <w:rPr>
          <w:rFonts w:hint="eastAsia" w:ascii="仿宋_GB2312" w:hAnsi="仿宋"/>
          <w:szCs w:val="32"/>
        </w:rPr>
        <w:t>万元</w:t>
      </w:r>
      <w:r>
        <w:rPr>
          <w:rFonts w:hint="eastAsia" w:ascii="仿宋_GB2312" w:hAnsi="仿宋"/>
          <w:szCs w:val="32"/>
          <w:lang w:eastAsia="zh-CN"/>
        </w:rPr>
        <w:t>，</w:t>
      </w:r>
      <w:r>
        <w:rPr>
          <w:rFonts w:hint="eastAsia" w:ascii="仿宋_GB2312" w:hAnsi="仿宋"/>
          <w:szCs w:val="32"/>
          <w:lang w:val="en-US" w:eastAsia="zh-CN"/>
        </w:rPr>
        <w:t>占0.85%</w:t>
      </w:r>
      <w:r>
        <w:rPr>
          <w:rFonts w:hint="eastAsia" w:ascii="仿宋_GB2312" w:hAnsi="仿宋"/>
          <w:szCs w:val="32"/>
          <w:lang w:eastAsia="zh-CN"/>
        </w:rPr>
        <w:t>；其他支出</w:t>
      </w:r>
      <w:r>
        <w:rPr>
          <w:rFonts w:hint="eastAsia" w:ascii="仿宋_GB2312" w:hAnsi="仿宋"/>
          <w:szCs w:val="32"/>
          <w:lang w:val="en-US" w:eastAsia="zh-CN"/>
        </w:rPr>
        <w:t>2400，占5.54%</w:t>
      </w:r>
      <w:r>
        <w:rPr>
          <w:rFonts w:hint="eastAsia" w:ascii="仿宋_GB2312" w:hAnsi="仿宋"/>
          <w:szCs w:val="32"/>
        </w:rPr>
        <w:t>。</w:t>
      </w:r>
      <w:r>
        <w:rPr>
          <w:rFonts w:hint="eastAsia" w:ascii="仿宋_GB2312" w:hAnsi="仿宋"/>
          <w:szCs w:val="32"/>
          <w:lang w:val="en-US" w:eastAsia="zh-CN"/>
        </w:rPr>
        <w:t>2019年预算与2018年预算相比持平。</w:t>
      </w:r>
    </w:p>
    <w:p>
      <w:pPr>
        <w:ind w:firstLine="640" w:firstLineChars="200"/>
        <w:rPr>
          <w:rFonts w:hint="eastAsia" w:ascii="黑体" w:hAnsi="仿宋" w:eastAsia="黑体"/>
          <w:szCs w:val="32"/>
        </w:rPr>
      </w:pPr>
      <w:r>
        <w:rPr>
          <w:rFonts w:hint="eastAsia" w:ascii="黑体" w:hAnsi="仿宋" w:eastAsia="黑体"/>
          <w:szCs w:val="32"/>
        </w:rPr>
        <w:t>六、一般公共预算财政拨款基本支出</w:t>
      </w:r>
      <w:r>
        <w:rPr>
          <w:rFonts w:hint="eastAsia" w:ascii="黑体" w:hAnsi="仿宋" w:eastAsia="黑体"/>
          <w:szCs w:val="32"/>
          <w:lang w:eastAsia="zh-CN"/>
        </w:rPr>
        <w:t>预</w:t>
      </w:r>
      <w:r>
        <w:rPr>
          <w:rFonts w:hint="eastAsia" w:ascii="黑体" w:hAnsi="仿宋" w:eastAsia="黑体"/>
          <w:szCs w:val="32"/>
        </w:rPr>
        <w:t>算情况说明</w:t>
      </w:r>
    </w:p>
    <w:p>
      <w:pPr>
        <w:ind w:firstLine="640" w:firstLineChars="200"/>
        <w:rPr>
          <w:rFonts w:hint="eastAsia" w:ascii="楷体_GB2312" w:hAnsi="仿宋" w:eastAsia="楷体_GB2312"/>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年度财政拨款基本支出</w:t>
      </w:r>
      <w:r>
        <w:rPr>
          <w:rFonts w:hint="eastAsia" w:ascii="仿宋_GB2312" w:hAnsi="仿宋"/>
          <w:szCs w:val="32"/>
          <w:lang w:val="en-US" w:eastAsia="zh-CN"/>
        </w:rPr>
        <w:t>7,138.35</w:t>
      </w:r>
      <w:r>
        <w:rPr>
          <w:rFonts w:hint="eastAsia" w:ascii="仿宋_GB2312" w:hAnsi="仿宋"/>
          <w:szCs w:val="32"/>
        </w:rPr>
        <w:t>万元，其中人员经费</w:t>
      </w:r>
      <w:r>
        <w:rPr>
          <w:rFonts w:hint="eastAsia" w:ascii="仿宋_GB2312" w:hAnsi="仿宋"/>
          <w:szCs w:val="32"/>
          <w:lang w:val="en-US" w:eastAsia="zh-CN"/>
        </w:rPr>
        <w:t>3,296.91</w:t>
      </w:r>
      <w:r>
        <w:rPr>
          <w:rFonts w:hint="eastAsia" w:ascii="仿宋_GB2312" w:hAnsi="仿宋"/>
          <w:szCs w:val="32"/>
        </w:rPr>
        <w:t>万元，主要包括:基本工资、津贴补贴、奖金、伙食补助费、</w:t>
      </w:r>
      <w:r>
        <w:rPr>
          <w:rFonts w:hint="eastAsia" w:ascii="仿宋_GB2312" w:hAnsi="仿宋"/>
          <w:szCs w:val="32"/>
          <w:lang w:val="en-US" w:eastAsia="zh-CN"/>
        </w:rPr>
        <w:t>绩效工资、机关事业单位基本养老保险缴费、职工基本医疗保险缴费、</w:t>
      </w:r>
      <w:r>
        <w:rPr>
          <w:rFonts w:hint="eastAsia" w:ascii="仿宋_GB2312" w:hAnsi="仿宋"/>
          <w:szCs w:val="32"/>
        </w:rPr>
        <w:t>其他社会保障缴费、住房公积金、其他工资福利支出</w:t>
      </w:r>
      <w:r>
        <w:rPr>
          <w:rFonts w:hint="eastAsia" w:ascii="仿宋_GB2312" w:hAnsi="仿宋"/>
          <w:szCs w:val="32"/>
          <w:lang w:eastAsia="zh-CN"/>
        </w:rPr>
        <w:t>、</w:t>
      </w:r>
      <w:r>
        <w:rPr>
          <w:rFonts w:hint="eastAsia" w:ascii="仿宋_GB2312" w:hAnsi="仿宋"/>
          <w:szCs w:val="32"/>
          <w:lang w:val="en-US" w:eastAsia="zh-CN"/>
        </w:rPr>
        <w:t>抚恤金、生活补助、救济费、医疗费补助、助学金、奖励金、个人农业生产补贴、</w:t>
      </w:r>
      <w:r>
        <w:rPr>
          <w:rFonts w:hint="eastAsia" w:ascii="仿宋_GB2312" w:hAnsi="仿宋"/>
          <w:szCs w:val="32"/>
        </w:rPr>
        <w:t>对他个人和家庭</w:t>
      </w:r>
      <w:r>
        <w:rPr>
          <w:rFonts w:hint="eastAsia" w:ascii="仿宋_GB2312" w:hAnsi="仿宋"/>
          <w:szCs w:val="32"/>
          <w:lang w:val="en-US" w:eastAsia="zh-CN"/>
        </w:rPr>
        <w:t>的补助支出；</w:t>
      </w:r>
      <w:r>
        <w:rPr>
          <w:rFonts w:hint="eastAsia" w:ascii="仿宋_GB2312" w:hAnsi="仿宋"/>
          <w:szCs w:val="32"/>
        </w:rPr>
        <w:t>公用经费3，</w:t>
      </w:r>
      <w:r>
        <w:rPr>
          <w:rFonts w:hint="eastAsia" w:ascii="仿宋_GB2312" w:hAnsi="仿宋"/>
          <w:szCs w:val="32"/>
          <w:lang w:val="en-US" w:eastAsia="zh-CN"/>
        </w:rPr>
        <w:t>841.44</w:t>
      </w:r>
      <w:r>
        <w:rPr>
          <w:rFonts w:hint="eastAsia" w:ascii="仿宋_GB2312" w:hAnsi="仿宋"/>
          <w:szCs w:val="32"/>
        </w:rPr>
        <w:t>万元，主要包括：办公费、印刷费、咨询费、手续费、水费、电费、邮电费、物业管理费、差旅费、因公出国（境）费、维修（护）费、租赁费、会议费、培训费、公务接待费、专用材料费、</w:t>
      </w:r>
      <w:r>
        <w:rPr>
          <w:rFonts w:hint="eastAsia" w:ascii="仿宋_GB2312" w:hAnsi="仿宋"/>
          <w:szCs w:val="32"/>
          <w:lang w:val="en-US" w:eastAsia="zh-CN"/>
        </w:rPr>
        <w:t>被装购置费、</w:t>
      </w:r>
      <w:r>
        <w:rPr>
          <w:rFonts w:hint="eastAsia" w:ascii="仿宋_GB2312" w:hAnsi="仿宋"/>
          <w:szCs w:val="32"/>
        </w:rPr>
        <w:t>劳务费、委托业务费、工会经费、福利费、公务用车运行维护费、其他交通费用、其他商品服务支出</w:t>
      </w:r>
      <w:r>
        <w:rPr>
          <w:rFonts w:hint="eastAsia" w:ascii="仿宋_GB2312" w:hAnsi="仿宋"/>
          <w:szCs w:val="32"/>
          <w:lang w:eastAsia="zh-CN"/>
        </w:rPr>
        <w:t>，</w:t>
      </w:r>
      <w:r>
        <w:rPr>
          <w:rFonts w:hint="eastAsia" w:ascii="仿宋_GB2312" w:hAnsi="仿宋"/>
          <w:szCs w:val="32"/>
        </w:rPr>
        <w:t>办公设备购置、专用设备购置、信息网络及软件购置更新、其他资本性支出、费用补贴、其他对企业补助。</w:t>
      </w:r>
    </w:p>
    <w:p>
      <w:pPr>
        <w:ind w:firstLine="640" w:firstLineChars="200"/>
        <w:rPr>
          <w:rFonts w:hint="eastAsia" w:ascii="黑体" w:hAnsi="黑体" w:eastAsia="黑体"/>
          <w:szCs w:val="32"/>
        </w:rPr>
      </w:pPr>
      <w:r>
        <w:rPr>
          <w:rFonts w:hint="eastAsia" w:ascii="黑体" w:hAnsi="仿宋" w:eastAsia="黑体"/>
          <w:szCs w:val="32"/>
        </w:rPr>
        <w:t>七、</w:t>
      </w:r>
      <w:r>
        <w:rPr>
          <w:rFonts w:hint="eastAsia" w:ascii="黑体" w:hAnsi="黑体" w:eastAsia="黑体"/>
          <w:szCs w:val="32"/>
        </w:rPr>
        <w:t>政府性基金财政拨款收入支出</w:t>
      </w:r>
      <w:r>
        <w:rPr>
          <w:rFonts w:hint="eastAsia" w:ascii="黑体" w:hAnsi="黑体" w:eastAsia="黑体"/>
          <w:szCs w:val="32"/>
          <w:lang w:eastAsia="zh-CN"/>
        </w:rPr>
        <w:t>预</w:t>
      </w:r>
      <w:r>
        <w:rPr>
          <w:rFonts w:hint="eastAsia" w:ascii="黑体" w:hAnsi="黑体" w:eastAsia="黑体"/>
          <w:szCs w:val="32"/>
        </w:rPr>
        <w:t>算情况说明</w:t>
      </w:r>
    </w:p>
    <w:p>
      <w:pPr>
        <w:ind w:firstLine="640" w:firstLineChars="200"/>
        <w:rPr>
          <w:rFonts w:hint="eastAsia" w:ascii="仿宋_GB2312" w:hAnsi="仿宋"/>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年政府性基金本年收入</w:t>
      </w:r>
      <w:r>
        <w:rPr>
          <w:rFonts w:hint="eastAsia" w:ascii="仿宋_GB2312" w:hAnsi="仿宋"/>
          <w:szCs w:val="32"/>
          <w:lang w:val="en-US" w:eastAsia="zh-CN"/>
        </w:rPr>
        <w:t>2400</w:t>
      </w:r>
      <w:r>
        <w:rPr>
          <w:rFonts w:hint="eastAsia" w:ascii="仿宋_GB2312" w:hAnsi="仿宋"/>
          <w:szCs w:val="32"/>
        </w:rPr>
        <w:t>万元，本年支出</w:t>
      </w:r>
      <w:r>
        <w:rPr>
          <w:rFonts w:hint="eastAsia" w:ascii="仿宋_GB2312" w:hAnsi="仿宋"/>
          <w:szCs w:val="32"/>
          <w:lang w:val="en-US" w:eastAsia="zh-CN"/>
        </w:rPr>
        <w:t>2400</w:t>
      </w:r>
      <w:r>
        <w:rPr>
          <w:rFonts w:hint="eastAsia" w:ascii="仿宋_GB2312" w:hAnsi="仿宋"/>
          <w:szCs w:val="32"/>
        </w:rPr>
        <w:t>万元，年末结转和结余0万元。具体情况说明如下：</w:t>
      </w:r>
    </w:p>
    <w:p>
      <w:pPr>
        <w:ind w:firstLine="640" w:firstLineChars="200"/>
        <w:rPr>
          <w:rFonts w:hint="eastAsia" w:ascii="楷体_GB2312" w:hAnsi="仿宋"/>
          <w:szCs w:val="32"/>
        </w:rPr>
      </w:pPr>
      <w:r>
        <w:rPr>
          <w:rFonts w:hint="eastAsia" w:ascii="仿宋_GB2312" w:hAnsi="仿宋"/>
          <w:szCs w:val="32"/>
        </w:rPr>
        <w:t xml:space="preserve"> 城乡社区（类）城市基础设施配套费</w:t>
      </w:r>
      <w:r>
        <w:rPr>
          <w:rFonts w:hint="eastAsia" w:ascii="仿宋_GB2312" w:hAnsi="仿宋"/>
          <w:szCs w:val="32"/>
          <w:lang w:val="en-US" w:eastAsia="zh-CN"/>
        </w:rPr>
        <w:t>安排的支出</w:t>
      </w:r>
      <w:r>
        <w:rPr>
          <w:rFonts w:hint="eastAsia" w:ascii="仿宋_GB2312" w:hAnsi="仿宋"/>
          <w:szCs w:val="32"/>
        </w:rPr>
        <w:t>年初预算为</w:t>
      </w:r>
      <w:r>
        <w:rPr>
          <w:rFonts w:hint="eastAsia" w:ascii="仿宋_GB2312" w:hAnsi="仿宋"/>
          <w:szCs w:val="32"/>
          <w:lang w:val="en-US" w:eastAsia="zh-CN"/>
        </w:rPr>
        <w:t>2400</w:t>
      </w:r>
      <w:r>
        <w:rPr>
          <w:rFonts w:hint="eastAsia" w:ascii="仿宋_GB2312" w:hAnsi="仿宋"/>
          <w:szCs w:val="32"/>
        </w:rPr>
        <w:t>万元，支出决算为</w:t>
      </w:r>
      <w:r>
        <w:rPr>
          <w:rFonts w:hint="eastAsia" w:ascii="仿宋_GB2312" w:hAnsi="仿宋"/>
          <w:szCs w:val="32"/>
          <w:lang w:val="en-US" w:eastAsia="zh-CN"/>
        </w:rPr>
        <w:t>2400</w:t>
      </w:r>
      <w:r>
        <w:rPr>
          <w:rFonts w:hint="eastAsia" w:ascii="仿宋_GB2312" w:hAnsi="仿宋"/>
          <w:szCs w:val="32"/>
        </w:rPr>
        <w:t>万元。</w:t>
      </w:r>
    </w:p>
    <w:p>
      <w:pPr>
        <w:adjustRightInd w:val="0"/>
        <w:snapToGrid w:val="0"/>
        <w:spacing w:line="600" w:lineRule="exact"/>
        <w:ind w:firstLine="640" w:firstLineChars="200"/>
        <w:rPr>
          <w:rFonts w:hint="eastAsia" w:ascii="黑体" w:hAnsi="黑体" w:eastAsia="黑体"/>
          <w:szCs w:val="32"/>
        </w:rPr>
      </w:pPr>
      <w:r>
        <w:rPr>
          <w:rFonts w:hint="eastAsia" w:ascii="黑体" w:hAnsi="黑体" w:eastAsia="黑体"/>
          <w:szCs w:val="32"/>
        </w:rPr>
        <w:t>八、其他重要事项的情况说明</w:t>
      </w:r>
    </w:p>
    <w:p>
      <w:pPr>
        <w:adjustRightInd w:val="0"/>
        <w:snapToGrid w:val="0"/>
        <w:spacing w:line="600" w:lineRule="exact"/>
        <w:ind w:firstLine="643" w:firstLineChars="200"/>
        <w:rPr>
          <w:rFonts w:hint="eastAsia" w:ascii="仿宋_GB2312" w:hAnsi="仿宋"/>
          <w:b/>
          <w:bCs/>
          <w:szCs w:val="32"/>
        </w:rPr>
      </w:pPr>
      <w:r>
        <w:rPr>
          <w:rFonts w:hint="eastAsia" w:ascii="仿宋_GB2312" w:hAnsi="仿宋"/>
          <w:b/>
          <w:bCs/>
          <w:szCs w:val="32"/>
        </w:rPr>
        <w:t>（一）机关运行经费支出情况。</w:t>
      </w:r>
    </w:p>
    <w:p>
      <w:pPr>
        <w:adjustRightInd w:val="0"/>
        <w:snapToGrid w:val="0"/>
        <w:spacing w:line="600" w:lineRule="exact"/>
        <w:ind w:firstLine="640" w:firstLineChars="200"/>
        <w:rPr>
          <w:rFonts w:hint="eastAsia" w:ascii="仿宋_GB2312" w:hAnsi="仿宋"/>
          <w:szCs w:val="32"/>
        </w:rPr>
      </w:pPr>
      <w:r>
        <w:rPr>
          <w:rFonts w:hint="eastAsia" w:ascii="仿宋_GB2312" w:hAnsi="仿宋"/>
          <w:szCs w:val="32"/>
        </w:rPr>
        <w:t>201</w:t>
      </w:r>
      <w:r>
        <w:rPr>
          <w:rFonts w:hint="eastAsia" w:ascii="仿宋_GB2312" w:hAnsi="仿宋"/>
          <w:szCs w:val="32"/>
          <w:lang w:val="en-US" w:eastAsia="zh-CN"/>
        </w:rPr>
        <w:t>9</w:t>
      </w:r>
      <w:r>
        <w:rPr>
          <w:rFonts w:hint="eastAsia" w:ascii="仿宋_GB2312" w:hAnsi="仿宋"/>
          <w:szCs w:val="32"/>
        </w:rPr>
        <w:t>年度，宿马现代产业园区管理委员会机关运行经费支出</w:t>
      </w:r>
      <w:r>
        <w:rPr>
          <w:rFonts w:hint="eastAsia" w:ascii="仿宋_GB2312" w:hAnsi="仿宋"/>
          <w:color w:val="auto"/>
          <w:szCs w:val="32"/>
          <w:lang w:val="en-US" w:eastAsia="zh-CN"/>
        </w:rPr>
        <w:t>7138.35</w:t>
      </w:r>
      <w:r>
        <w:rPr>
          <w:rFonts w:hint="eastAsia" w:ascii="仿宋_GB2312" w:hAnsi="仿宋"/>
          <w:color w:val="auto"/>
          <w:szCs w:val="32"/>
        </w:rPr>
        <w:t>万元</w:t>
      </w:r>
      <w:r>
        <w:rPr>
          <w:rFonts w:hint="eastAsia" w:ascii="仿宋_GB2312" w:hAnsi="仿宋"/>
          <w:szCs w:val="32"/>
        </w:rPr>
        <w:t>。</w:t>
      </w:r>
    </w:p>
    <w:p>
      <w:pPr>
        <w:adjustRightInd w:val="0"/>
        <w:snapToGrid w:val="0"/>
        <w:spacing w:line="600" w:lineRule="exact"/>
        <w:ind w:firstLine="643" w:firstLineChars="200"/>
        <w:rPr>
          <w:rFonts w:hint="eastAsia" w:ascii="仿宋_GB2312" w:hAnsi="仿宋"/>
          <w:b/>
          <w:bCs/>
          <w:szCs w:val="32"/>
        </w:rPr>
      </w:pPr>
      <w:r>
        <w:rPr>
          <w:rFonts w:hint="eastAsia" w:ascii="仿宋_GB2312" w:hAnsi="仿宋"/>
          <w:b/>
          <w:bCs/>
          <w:szCs w:val="32"/>
        </w:rPr>
        <w:t>（二）政府采购支出情况。</w:t>
      </w:r>
    </w:p>
    <w:p>
      <w:pPr>
        <w:adjustRightInd w:val="0"/>
        <w:snapToGrid w:val="0"/>
        <w:spacing w:line="600" w:lineRule="exact"/>
        <w:ind w:firstLine="640" w:firstLineChars="200"/>
        <w:rPr>
          <w:rFonts w:hint="eastAsia" w:ascii="仿宋_GB2312" w:hAnsi="楷体" w:eastAsia="仿宋_GB2312"/>
          <w:sz w:val="32"/>
          <w:szCs w:val="32"/>
        </w:rPr>
      </w:pPr>
      <w:r>
        <w:rPr>
          <w:rFonts w:hint="eastAsia" w:ascii="仿宋_GB2312" w:hAnsi="仿宋"/>
          <w:szCs w:val="32"/>
        </w:rPr>
        <w:t>宿马现代产业园区管理委员会政府采购</w:t>
      </w:r>
      <w:r>
        <w:rPr>
          <w:rFonts w:hint="eastAsia" w:ascii="仿宋_GB2312" w:hAnsi="楷体" w:eastAsia="仿宋_GB2312"/>
          <w:sz w:val="32"/>
          <w:szCs w:val="32"/>
        </w:rPr>
        <w:t>预算总额0万元。其中：政府采购货物预算0万元，政府采购工程预算0万元，政府采购服务预算0万元。</w:t>
      </w:r>
    </w:p>
    <w:p>
      <w:pPr>
        <w:adjustRightInd w:val="0"/>
        <w:snapToGrid w:val="0"/>
        <w:spacing w:line="600" w:lineRule="exact"/>
        <w:ind w:firstLine="640" w:firstLineChars="200"/>
        <w:rPr>
          <w:rFonts w:hint="eastAsia" w:ascii="仿宋_GB2312" w:hAnsi="仿宋"/>
          <w:szCs w:val="32"/>
        </w:rPr>
      </w:pPr>
      <w:r>
        <w:rPr>
          <w:rFonts w:hint="eastAsia" w:ascii="仿宋_GB2312" w:hAnsi="仿宋"/>
          <w:szCs w:val="32"/>
        </w:rPr>
        <w:t>（三）</w:t>
      </w:r>
      <w:r>
        <w:rPr>
          <w:rFonts w:hint="eastAsia" w:ascii="仿宋_GB2312" w:hAnsi="仿宋"/>
          <w:b/>
          <w:bCs/>
          <w:szCs w:val="32"/>
        </w:rPr>
        <w:t>国有资产占有使用情况</w:t>
      </w:r>
      <w:r>
        <w:rPr>
          <w:rFonts w:hint="eastAsia" w:ascii="仿宋_GB2312" w:hAnsi="仿宋"/>
          <w:szCs w:val="32"/>
        </w:rPr>
        <w:t>。</w:t>
      </w:r>
    </w:p>
    <w:p>
      <w:pPr>
        <w:spacing w:line="600" w:lineRule="exact"/>
        <w:ind w:firstLine="628"/>
        <w:rPr>
          <w:rFonts w:hint="eastAsia" w:ascii="仿宋_GB2312" w:hAnsi="楷体"/>
          <w:szCs w:val="32"/>
        </w:rPr>
      </w:pPr>
      <w:r>
        <w:rPr>
          <w:rFonts w:hint="eastAsia" w:ascii="仿宋_GB2312" w:hAnsi="楷体"/>
          <w:szCs w:val="32"/>
        </w:rPr>
        <w:t>截至201</w:t>
      </w:r>
      <w:r>
        <w:rPr>
          <w:rFonts w:hint="eastAsia" w:ascii="仿宋_GB2312" w:hAnsi="楷体"/>
          <w:szCs w:val="32"/>
          <w:lang w:val="en-US" w:eastAsia="zh-CN"/>
        </w:rPr>
        <w:t>8</w:t>
      </w:r>
      <w:r>
        <w:rPr>
          <w:rFonts w:hint="eastAsia" w:ascii="仿宋_GB2312" w:hAnsi="楷体"/>
          <w:szCs w:val="32"/>
        </w:rPr>
        <w:t>年12月31日</w:t>
      </w:r>
      <w:r>
        <w:rPr>
          <w:rFonts w:hint="eastAsia" w:ascii="仿宋_GB2312" w:hAnsi="仿宋_GB2312" w:eastAsia="仿宋_GB2312" w:cs="仿宋_GB2312"/>
          <w:sz w:val="32"/>
          <w:szCs w:val="32"/>
        </w:rPr>
        <w:t>，宿州马鞍山现代产业园区管理委员会账面资产公务用车为</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辆</w:t>
      </w:r>
      <w:r>
        <w:rPr>
          <w:rFonts w:ascii="仿宋_GB2312" w:hAnsi="仿宋_GB2312" w:cs="仿宋_GB2312"/>
          <w:szCs w:val="32"/>
        </w:rPr>
        <w:t>(</w:t>
      </w:r>
      <w:r>
        <w:rPr>
          <w:rFonts w:hint="eastAsia" w:ascii="仿宋_GB2312" w:hAnsi="仿宋_GB2312" w:cs="仿宋_GB2312"/>
          <w:szCs w:val="32"/>
        </w:rPr>
        <w:t>实际使用人为部分市直派出机构，管委会及其他派出机构用车已纳入公务用车平台</w:t>
      </w:r>
      <w:r>
        <w:rPr>
          <w:rFonts w:ascii="仿宋_GB2312" w:hAnsi="仿宋_GB2312" w:cs="仿宋_GB2312"/>
          <w:szCs w:val="32"/>
        </w:rPr>
        <w:t>)</w:t>
      </w:r>
      <w:r>
        <w:rPr>
          <w:rFonts w:hint="eastAsia" w:ascii="仿宋_GB2312" w:hAnsi="仿宋_GB2312" w:cs="仿宋_GB2312"/>
          <w:szCs w:val="32"/>
        </w:rPr>
        <w:t>，其中城管局执法用车</w:t>
      </w:r>
      <w:r>
        <w:rPr>
          <w:rFonts w:ascii="仿宋_GB2312" w:hAnsi="仿宋_GB2312" w:cs="仿宋_GB2312"/>
          <w:szCs w:val="32"/>
        </w:rPr>
        <w:t>3</w:t>
      </w:r>
      <w:r>
        <w:rPr>
          <w:rFonts w:hint="eastAsia" w:ascii="仿宋_GB2312" w:hAnsi="仿宋_GB2312" w:cs="仿宋_GB2312"/>
          <w:szCs w:val="32"/>
        </w:rPr>
        <w:t>辆、垃圾运输车</w:t>
      </w:r>
      <w:r>
        <w:rPr>
          <w:rFonts w:ascii="仿宋_GB2312" w:hAnsi="仿宋_GB2312" w:cs="仿宋_GB2312"/>
          <w:szCs w:val="32"/>
        </w:rPr>
        <w:t>1</w:t>
      </w:r>
      <w:r>
        <w:rPr>
          <w:rFonts w:hint="eastAsia" w:ascii="仿宋_GB2312" w:hAnsi="仿宋_GB2312" w:cs="仿宋_GB2312"/>
          <w:szCs w:val="32"/>
        </w:rPr>
        <w:t>辆，公安一般公务用车</w:t>
      </w:r>
      <w:r>
        <w:rPr>
          <w:rFonts w:ascii="仿宋_GB2312" w:hAnsi="仿宋_GB2312" w:cs="仿宋_GB2312"/>
          <w:szCs w:val="32"/>
        </w:rPr>
        <w:t>1</w:t>
      </w:r>
      <w:r>
        <w:rPr>
          <w:rFonts w:hint="eastAsia" w:ascii="仿宋_GB2312" w:hAnsi="仿宋_GB2312" w:cs="仿宋_GB2312"/>
          <w:szCs w:val="32"/>
        </w:rPr>
        <w:t>辆，以上车辆均为均为建园初期为解决这些单位公务及执勤需要</w:t>
      </w:r>
      <w:r>
        <w:rPr>
          <w:rFonts w:hint="eastAsia" w:ascii="仿宋_GB2312" w:hAnsi="仿宋_GB2312" w:cs="仿宋_GB2312"/>
          <w:szCs w:val="32"/>
          <w:lang w:eastAsia="zh-CN"/>
        </w:rPr>
        <w:t>。</w:t>
      </w:r>
      <w:r>
        <w:rPr>
          <w:rFonts w:hint="eastAsia" w:ascii="仿宋_GB2312" w:hAnsi="楷体"/>
          <w:szCs w:val="32"/>
        </w:rPr>
        <w:t>单价50万元以上的通用设备0台（套），单价100万以上专用设备0台（套）。</w:t>
      </w:r>
    </w:p>
    <w:p>
      <w:pPr>
        <w:spacing w:line="600" w:lineRule="exact"/>
        <w:ind w:firstLine="628"/>
        <w:rPr>
          <w:rFonts w:hint="eastAsia" w:ascii="仿宋_GB2312" w:hAnsi="仿宋"/>
          <w:b/>
          <w:bCs/>
          <w:color w:val="auto"/>
          <w:szCs w:val="32"/>
        </w:rPr>
      </w:pPr>
      <w:r>
        <w:rPr>
          <w:rFonts w:hint="eastAsia" w:ascii="仿宋_GB2312" w:hAnsi="仿宋"/>
          <w:b/>
          <w:bCs/>
          <w:color w:val="auto"/>
          <w:szCs w:val="32"/>
        </w:rPr>
        <w:t>（四）关于201</w:t>
      </w:r>
      <w:r>
        <w:rPr>
          <w:rFonts w:hint="eastAsia" w:ascii="仿宋_GB2312" w:hAnsi="仿宋"/>
          <w:b/>
          <w:bCs/>
          <w:color w:val="auto"/>
          <w:szCs w:val="32"/>
          <w:lang w:val="en-US" w:eastAsia="zh-CN"/>
        </w:rPr>
        <w:t>9</w:t>
      </w:r>
      <w:r>
        <w:rPr>
          <w:rFonts w:hint="eastAsia" w:ascii="仿宋_GB2312" w:hAnsi="仿宋"/>
          <w:b/>
          <w:bCs/>
          <w:color w:val="auto"/>
          <w:szCs w:val="32"/>
        </w:rPr>
        <w:t>年度预算绩效情况说明。</w:t>
      </w:r>
    </w:p>
    <w:p>
      <w:pPr>
        <w:adjustRightInd w:val="0"/>
        <w:snapToGrid w:val="0"/>
        <w:spacing w:line="560" w:lineRule="exact"/>
        <w:ind w:firstLine="640" w:firstLineChars="200"/>
        <w:rPr>
          <w:rFonts w:hint="eastAsia" w:ascii="仿宋" w:hAnsi="仿宋" w:eastAsia="仿宋" w:cs="仿宋"/>
          <w:i w:val="0"/>
          <w:iCs w:val="0"/>
          <w:caps w:val="0"/>
          <w:color w:val="333333"/>
          <w:spacing w:val="0"/>
          <w:sz w:val="32"/>
          <w:szCs w:val="32"/>
          <w:shd w:val="clear" w:fill="FFFFFF"/>
        </w:rPr>
      </w:pPr>
      <w:r>
        <w:rPr>
          <w:rFonts w:ascii="仿宋_GB2312" w:hAnsi="宋体" w:eastAsia="仿宋_GB2312" w:cs="仿宋_GB2312"/>
          <w:i w:val="0"/>
          <w:iCs w:val="0"/>
          <w:caps w:val="0"/>
          <w:color w:val="000000"/>
          <w:spacing w:val="0"/>
          <w:sz w:val="32"/>
          <w:szCs w:val="32"/>
          <w:shd w:val="clear" w:fill="FFFFFF"/>
        </w:rPr>
        <w:t>根据绩效管理工作计划安排，</w:t>
      </w:r>
      <w:r>
        <w:rPr>
          <w:rFonts w:ascii="仿宋" w:hAnsi="仿宋" w:eastAsia="仿宋" w:cs="仿宋"/>
          <w:i w:val="0"/>
          <w:iCs w:val="0"/>
          <w:caps w:val="0"/>
          <w:color w:val="333333"/>
          <w:spacing w:val="0"/>
          <w:sz w:val="32"/>
          <w:szCs w:val="32"/>
          <w:shd w:val="clear" w:fill="FFFFFF"/>
        </w:rPr>
        <w:t>园区财政局在园区党工委、管委会和上级财政部门的正确领导下，坚持</w:t>
      </w:r>
      <w:r>
        <w:rPr>
          <w:rFonts w:hint="eastAsia" w:ascii="仿宋" w:hAnsi="仿宋" w:eastAsia="仿宋" w:cs="仿宋"/>
          <w:i w:val="0"/>
          <w:iCs w:val="0"/>
          <w:caps w:val="0"/>
          <w:color w:val="333333"/>
          <w:spacing w:val="0"/>
          <w:sz w:val="32"/>
          <w:szCs w:val="32"/>
          <w:shd w:val="clear" w:fill="FFFFFF"/>
        </w:rPr>
        <w:t>“四化同步、产城一体”的发展理念，紧紧围绕园区管委会年初确定的工作部署，选择了园林养护、森林长廊工程等项目开展财政绩效评价工作，同时学习上级财政部门开展财政支出绩效评价工作先进经验和做法，提高园区开展好此项工作的管理水平，通过绩效评价工作，促使项目单位增强绩效理念，强化支出管理，提高财政资金使用效益。</w:t>
      </w:r>
    </w:p>
    <w:p>
      <w:pPr>
        <w:adjustRightInd w:val="0"/>
        <w:snapToGrid w:val="0"/>
        <w:spacing w:line="560" w:lineRule="exact"/>
        <w:ind w:firstLine="640" w:firstLineChars="200"/>
        <w:rPr>
          <w:rFonts w:hint="eastAsia" w:ascii="黑体" w:hAnsi="黑体" w:eastAsia="黑体"/>
          <w:szCs w:val="32"/>
        </w:rPr>
      </w:pPr>
      <w:r>
        <w:rPr>
          <w:rFonts w:hint="eastAsia" w:ascii="黑体" w:hAnsi="黑体" w:eastAsia="黑体"/>
          <w:szCs w:val="32"/>
        </w:rPr>
        <w:t>第四部分 名词解释</w:t>
      </w:r>
    </w:p>
    <w:p>
      <w:pPr>
        <w:adjustRightInd w:val="0"/>
        <w:snapToGrid w:val="0"/>
        <w:spacing w:line="560" w:lineRule="exact"/>
        <w:ind w:firstLine="643" w:firstLineChars="200"/>
        <w:rPr>
          <w:rFonts w:hint="eastAsia" w:ascii="仿宋_GB2312" w:hAnsi="仿宋"/>
          <w:szCs w:val="32"/>
        </w:rPr>
      </w:pPr>
      <w:r>
        <w:rPr>
          <w:rFonts w:hint="eastAsia" w:ascii="仿宋_GB2312" w:hAnsi="仿宋"/>
          <w:b/>
          <w:szCs w:val="32"/>
        </w:rPr>
        <w:t>一、财政拨款收入：</w:t>
      </w:r>
      <w:r>
        <w:rPr>
          <w:rFonts w:hint="eastAsia" w:ascii="仿宋_GB2312" w:hAnsi="仿宋"/>
          <w:szCs w:val="32"/>
        </w:rPr>
        <w:t>指单位从同级财政部门取得的财政预算资金。</w:t>
      </w:r>
    </w:p>
    <w:p>
      <w:pPr>
        <w:adjustRightInd w:val="0"/>
        <w:snapToGrid w:val="0"/>
        <w:spacing w:line="560" w:lineRule="exact"/>
        <w:ind w:firstLine="643" w:firstLineChars="200"/>
        <w:rPr>
          <w:rFonts w:hint="eastAsia" w:ascii="仿宋_GB2312" w:hAnsi="黑体"/>
          <w:bCs/>
          <w:szCs w:val="32"/>
        </w:rPr>
      </w:pPr>
      <w:r>
        <w:rPr>
          <w:rFonts w:hint="eastAsia" w:ascii="仿宋_GB2312" w:hAnsi="仿宋"/>
          <w:b/>
          <w:bCs/>
          <w:szCs w:val="32"/>
        </w:rPr>
        <w:t>二</w:t>
      </w:r>
      <w:r>
        <w:rPr>
          <w:rFonts w:hint="eastAsia" w:ascii="仿宋_GB2312" w:hAnsi="黑体"/>
          <w:b/>
          <w:szCs w:val="32"/>
        </w:rPr>
        <w:t>、</w:t>
      </w:r>
      <w:r>
        <w:rPr>
          <w:rFonts w:hint="eastAsia" w:ascii="仿宋_GB2312" w:hAnsi="黑体"/>
          <w:b/>
          <w:bCs/>
          <w:szCs w:val="32"/>
        </w:rPr>
        <w:t>其他收入：</w:t>
      </w:r>
      <w:r>
        <w:rPr>
          <w:rFonts w:hint="eastAsia" w:ascii="仿宋_GB2312" w:hAnsi="黑体"/>
          <w:bCs/>
          <w:szCs w:val="32"/>
        </w:rPr>
        <w:t>指事业单位除财政补助收入、事业收入、上级补助收入、附属单位上缴收入、经营收入以外的各项收入，包括投资收益、银行存款利息收入、租金收入、捐赠收入、现金盘盈收入、存货盘盈收入、收回已核销应收及预付款项、无法偿付的应付及预收款项等。</w:t>
      </w:r>
    </w:p>
    <w:p>
      <w:pPr>
        <w:pStyle w:val="4"/>
        <w:adjustRightInd w:val="0"/>
        <w:snapToGrid w:val="0"/>
        <w:spacing w:before="0" w:beforeAutospacing="0" w:after="0" w:afterAutospacing="0" w:line="560" w:lineRule="exact"/>
        <w:ind w:firstLine="630" w:firstLineChars="196"/>
        <w:rPr>
          <w:rFonts w:hint="eastAsia" w:ascii="仿宋_GB2312" w:hAnsi="黑体" w:eastAsia="仿宋_GB2312"/>
          <w:bCs/>
          <w:sz w:val="32"/>
          <w:szCs w:val="32"/>
        </w:rPr>
      </w:pPr>
      <w:r>
        <w:rPr>
          <w:rFonts w:hint="eastAsia" w:ascii="仿宋_GB2312" w:hAnsi="黑体" w:eastAsia="仿宋_GB2312"/>
          <w:b/>
          <w:bCs/>
          <w:sz w:val="32"/>
          <w:szCs w:val="32"/>
        </w:rPr>
        <w:t>三、年初结转和结余：</w:t>
      </w:r>
      <w:r>
        <w:rPr>
          <w:rFonts w:hint="eastAsia" w:ascii="仿宋_GB2312" w:hAnsi="黑体" w:eastAsia="仿宋_GB2312"/>
          <w:bCs/>
          <w:sz w:val="32"/>
          <w:szCs w:val="32"/>
        </w:rPr>
        <w:t>指单位以前年度尚未完成、结转到本年按有关规定继续使用的资金。</w:t>
      </w:r>
    </w:p>
    <w:p>
      <w:pPr>
        <w:pStyle w:val="4"/>
        <w:adjustRightInd w:val="0"/>
        <w:snapToGrid w:val="0"/>
        <w:spacing w:before="0" w:beforeAutospacing="0" w:after="0" w:afterAutospacing="0" w:line="560" w:lineRule="exact"/>
        <w:ind w:firstLine="630" w:firstLineChars="196"/>
        <w:rPr>
          <w:rFonts w:hint="eastAsia" w:ascii="仿宋_GB2312" w:hAnsi="黑体" w:eastAsia="仿宋_GB2312"/>
          <w:bCs/>
          <w:sz w:val="32"/>
          <w:szCs w:val="32"/>
        </w:rPr>
      </w:pPr>
      <w:r>
        <w:rPr>
          <w:rFonts w:hint="eastAsia" w:ascii="仿宋_GB2312" w:hAnsi="黑体" w:eastAsia="仿宋_GB2312"/>
          <w:b/>
          <w:bCs/>
          <w:sz w:val="32"/>
          <w:szCs w:val="32"/>
        </w:rPr>
        <w:t>四、结余分配：</w:t>
      </w:r>
      <w:r>
        <w:rPr>
          <w:rFonts w:hint="eastAsia" w:ascii="仿宋_GB2312" w:hAnsi="黑体" w:eastAsia="仿宋_GB2312"/>
          <w:bCs/>
          <w:sz w:val="32"/>
          <w:szCs w:val="32"/>
        </w:rPr>
        <w:t>指事业单位按照会计制度规定缴纳的所得税以及从非财政补助结余中提取的职工福利基金、事业基金。</w:t>
      </w:r>
    </w:p>
    <w:p>
      <w:pPr>
        <w:pStyle w:val="4"/>
        <w:adjustRightInd w:val="0"/>
        <w:snapToGrid w:val="0"/>
        <w:spacing w:before="0" w:beforeAutospacing="0" w:after="0" w:afterAutospacing="0" w:line="560" w:lineRule="exact"/>
        <w:ind w:firstLine="630" w:firstLineChars="196"/>
        <w:rPr>
          <w:rFonts w:hint="eastAsia" w:ascii="仿宋_GB2312" w:hAnsi="黑体" w:eastAsia="仿宋_GB2312"/>
          <w:b/>
          <w:sz w:val="32"/>
          <w:szCs w:val="32"/>
        </w:rPr>
      </w:pPr>
      <w:r>
        <w:rPr>
          <w:rFonts w:hint="eastAsia" w:ascii="仿宋_GB2312" w:hAnsi="黑体" w:eastAsia="仿宋_GB2312"/>
          <w:b/>
          <w:bCs/>
          <w:sz w:val="32"/>
          <w:szCs w:val="32"/>
        </w:rPr>
        <w:t>五、年末结转和结余：</w:t>
      </w:r>
      <w:r>
        <w:rPr>
          <w:rFonts w:hint="eastAsia" w:ascii="仿宋_GB2312" w:hAnsi="黑体" w:eastAsia="仿宋_GB2312"/>
          <w:bCs/>
          <w:sz w:val="32"/>
          <w:szCs w:val="32"/>
        </w:rPr>
        <w:t>指单位按有关规定结转到下年或以后年度继续使用的资金。</w:t>
      </w:r>
    </w:p>
    <w:p>
      <w:pPr>
        <w:pStyle w:val="4"/>
        <w:adjustRightInd w:val="0"/>
        <w:snapToGrid w:val="0"/>
        <w:spacing w:before="0" w:beforeAutospacing="0" w:after="0" w:afterAutospacing="0" w:line="560" w:lineRule="exact"/>
        <w:ind w:firstLine="630" w:firstLineChars="196"/>
        <w:rPr>
          <w:rFonts w:hint="eastAsia" w:ascii="仿宋_GB2312" w:hAnsi="黑体" w:eastAsia="仿宋_GB2312"/>
          <w:sz w:val="32"/>
          <w:szCs w:val="32"/>
        </w:rPr>
      </w:pPr>
      <w:r>
        <w:rPr>
          <w:rFonts w:hint="eastAsia" w:ascii="仿宋_GB2312" w:hAnsi="黑体" w:eastAsia="仿宋_GB2312"/>
          <w:b/>
          <w:sz w:val="32"/>
          <w:szCs w:val="32"/>
        </w:rPr>
        <w:t>六、基本支出：</w:t>
      </w:r>
      <w:r>
        <w:rPr>
          <w:rFonts w:hint="eastAsia" w:ascii="仿宋_GB2312" w:hAnsi="黑体" w:eastAsia="仿宋_GB2312"/>
          <w:sz w:val="32"/>
          <w:szCs w:val="32"/>
        </w:rPr>
        <w:t>指单位为保障其机构正常运转、完成日常工作任务而发生的人员支出和公用支出。</w:t>
      </w:r>
    </w:p>
    <w:p>
      <w:pPr>
        <w:pStyle w:val="4"/>
        <w:spacing w:before="0" w:beforeAutospacing="0" w:after="0" w:afterAutospacing="0" w:line="560" w:lineRule="exact"/>
        <w:ind w:firstLine="630" w:firstLineChars="196"/>
        <w:jc w:val="both"/>
        <w:rPr>
          <w:rFonts w:hint="eastAsia" w:ascii="仿宋_GB2312" w:hAnsi="黑体" w:eastAsia="仿宋_GB2312"/>
          <w:color w:val="00B0F0"/>
          <w:sz w:val="32"/>
          <w:szCs w:val="32"/>
        </w:rPr>
      </w:pPr>
      <w:r>
        <w:rPr>
          <w:rFonts w:hint="eastAsia" w:ascii="仿宋_GB2312" w:hAnsi="黑体" w:eastAsia="仿宋_GB2312"/>
          <w:b/>
          <w:sz w:val="32"/>
          <w:szCs w:val="32"/>
        </w:rPr>
        <w:t>七、项目支出：</w:t>
      </w:r>
      <w:r>
        <w:rPr>
          <w:rFonts w:hint="eastAsia" w:ascii="仿宋_GB2312" w:hAnsi="黑体" w:eastAsia="仿宋_GB2312"/>
          <w:sz w:val="32"/>
          <w:szCs w:val="32"/>
        </w:rPr>
        <w:t>指单位为完成特定行政任务和事业发展目标在基本支出之外所发生的支出。</w:t>
      </w:r>
    </w:p>
    <w:p>
      <w:pPr>
        <w:pStyle w:val="4"/>
        <w:spacing w:before="0" w:beforeAutospacing="0" w:after="0" w:afterAutospacing="0" w:line="560" w:lineRule="exact"/>
        <w:ind w:firstLine="627" w:firstLineChars="196"/>
        <w:jc w:val="both"/>
        <w:rPr>
          <w:rFonts w:hint="eastAsia" w:ascii="仿宋_GB2312" w:hAnsi="黑体" w:eastAsia="仿宋_GB2312"/>
          <w:b/>
          <w:sz w:val="32"/>
          <w:szCs w:val="32"/>
        </w:rPr>
      </w:pPr>
      <w:r>
        <w:rPr>
          <w:rFonts w:hint="eastAsia" w:ascii="仿宋_GB2312" w:hAnsi="黑体" w:eastAsia="仿宋_GB2312"/>
          <w:sz w:val="32"/>
          <w:szCs w:val="32"/>
        </w:rPr>
        <w:t xml:space="preserve"> </w:t>
      </w:r>
      <w:r>
        <w:rPr>
          <w:rFonts w:hint="eastAsia" w:ascii="仿宋_GB2312" w:hAnsi="黑体" w:eastAsia="仿宋_GB2312"/>
          <w:b/>
          <w:sz w:val="32"/>
          <w:szCs w:val="32"/>
        </w:rPr>
        <w:t>八、“三公”经费：</w:t>
      </w:r>
      <w:r>
        <w:rPr>
          <w:rFonts w:hint="eastAsia" w:ascii="仿宋_GB2312" w:hAnsi="黑体" w:eastAsia="仿宋_GB2312"/>
          <w:sz w:val="32"/>
          <w:szCs w:val="32"/>
        </w:rPr>
        <w:t>纳入财政预决算管理的“三公”经费，是指单位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燃料费、维修费、过桥过路费、保险费、安全奖励费用等支出；公务接待费反映单位按规定开支的各类公务接待（含外宾接待</w:t>
      </w:r>
      <w:r>
        <w:rPr>
          <w:rFonts w:ascii="仿宋_GB2312" w:hAnsi="黑体" w:eastAsia="仿宋_GB2312"/>
          <w:sz w:val="32"/>
          <w:szCs w:val="32"/>
        </w:rPr>
        <w:t>）</w:t>
      </w:r>
      <w:r>
        <w:rPr>
          <w:rFonts w:hint="eastAsia" w:ascii="仿宋_GB2312" w:hAnsi="黑体" w:eastAsia="仿宋_GB2312"/>
          <w:sz w:val="32"/>
          <w:szCs w:val="32"/>
        </w:rPr>
        <w:t>支出。</w:t>
      </w:r>
    </w:p>
    <w:p>
      <w:pPr>
        <w:pStyle w:val="4"/>
        <w:spacing w:before="0" w:beforeAutospacing="0" w:after="0" w:afterAutospacing="0" w:line="560" w:lineRule="exact"/>
        <w:ind w:firstLine="630" w:firstLineChars="196"/>
        <w:jc w:val="both"/>
        <w:rPr>
          <w:rFonts w:hint="eastAsia" w:ascii="仿宋_GB2312" w:hAnsi="Times New Roman" w:eastAsia="仿宋_GB2312"/>
          <w:kern w:val="2"/>
          <w:sz w:val="32"/>
          <w:szCs w:val="32"/>
        </w:rPr>
      </w:pPr>
      <w:r>
        <w:rPr>
          <w:rFonts w:hint="eastAsia" w:ascii="仿宋_GB2312" w:hAnsi="黑体" w:eastAsia="仿宋_GB2312"/>
          <w:b/>
          <w:sz w:val="32"/>
          <w:szCs w:val="32"/>
        </w:rPr>
        <w:t>九、机关运行经费</w:t>
      </w:r>
      <w:r>
        <w:rPr>
          <w:rFonts w:hint="eastAsia" w:ascii="仿宋_GB2312" w:hAnsi="黑体" w:eastAsia="仿宋_GB2312"/>
          <w:sz w:val="32"/>
          <w:szCs w:val="32"/>
        </w:rPr>
        <w:t>：</w:t>
      </w:r>
      <w:r>
        <w:rPr>
          <w:rFonts w:hint="eastAsia" w:ascii="仿宋_GB2312" w:eastAsia="仿宋_GB2312"/>
          <w:sz w:val="32"/>
          <w:szCs w:val="32"/>
        </w:rPr>
        <w:t>指为保障行政单位（含参照公务员法管理的事业单位）运行用于购买货物和服务的各项资金</w:t>
      </w:r>
      <w:r>
        <w:rPr>
          <w:rFonts w:hint="eastAsia" w:ascii="仿宋_GB2312" w:hAnsi="Times New Roman" w:eastAsia="仿宋_GB2312"/>
          <w:kern w:val="2"/>
          <w:sz w:val="32"/>
          <w:szCs w:val="32"/>
        </w:rPr>
        <w:t>，包括办公及印刷费、邮电费、差旅费、会议费、福利费、日常维修费、专用材料费及一般设备购置费、办公用房水电费、办公用房取暖费、办公用房物业管理费、公务用车运行维护费以及其他费用。</w:t>
      </w: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pPr>
        <w:pStyle w:val="4"/>
        <w:spacing w:before="0" w:beforeAutospacing="0" w:after="0" w:afterAutospacing="0" w:line="560" w:lineRule="exact"/>
        <w:ind w:firstLine="627" w:firstLineChars="196"/>
        <w:jc w:val="both"/>
        <w:rPr>
          <w:rFonts w:hint="eastAsia" w:ascii="仿宋_GB2312" w:hAnsi="Times New Roman" w:eastAsia="仿宋_GB2312"/>
          <w:kern w:val="2"/>
          <w:sz w:val="32"/>
          <w:szCs w:val="32"/>
        </w:rPr>
      </w:pP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EC7A2F"/>
    <w:multiLevelType w:val="singleLevel"/>
    <w:tmpl w:val="F6EC7A2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5D26FB"/>
    <w:rsid w:val="002B62E6"/>
    <w:rsid w:val="00570269"/>
    <w:rsid w:val="02880076"/>
    <w:rsid w:val="03397D6E"/>
    <w:rsid w:val="04150047"/>
    <w:rsid w:val="041A2285"/>
    <w:rsid w:val="04897FDF"/>
    <w:rsid w:val="04DA48AD"/>
    <w:rsid w:val="04DC507D"/>
    <w:rsid w:val="04EB5697"/>
    <w:rsid w:val="04FE0EBC"/>
    <w:rsid w:val="05123056"/>
    <w:rsid w:val="05223C68"/>
    <w:rsid w:val="053963DF"/>
    <w:rsid w:val="05494F04"/>
    <w:rsid w:val="05B40627"/>
    <w:rsid w:val="05B740AF"/>
    <w:rsid w:val="06F26439"/>
    <w:rsid w:val="070A520E"/>
    <w:rsid w:val="070D1D95"/>
    <w:rsid w:val="07383065"/>
    <w:rsid w:val="07F124C7"/>
    <w:rsid w:val="08310DF9"/>
    <w:rsid w:val="08372C9E"/>
    <w:rsid w:val="08785B11"/>
    <w:rsid w:val="08EE066C"/>
    <w:rsid w:val="08EE52E0"/>
    <w:rsid w:val="091F2255"/>
    <w:rsid w:val="09B278E8"/>
    <w:rsid w:val="0A4B55F4"/>
    <w:rsid w:val="0A746D7E"/>
    <w:rsid w:val="0AB84672"/>
    <w:rsid w:val="0B2F14E0"/>
    <w:rsid w:val="0B562A77"/>
    <w:rsid w:val="0B824C09"/>
    <w:rsid w:val="0BAA7510"/>
    <w:rsid w:val="0C1D4740"/>
    <w:rsid w:val="0C995CCB"/>
    <w:rsid w:val="0CB50D88"/>
    <w:rsid w:val="0CD07793"/>
    <w:rsid w:val="0D3E69AE"/>
    <w:rsid w:val="0E226FC1"/>
    <w:rsid w:val="0E297967"/>
    <w:rsid w:val="0E6F51F2"/>
    <w:rsid w:val="0F474245"/>
    <w:rsid w:val="0F7D0D61"/>
    <w:rsid w:val="0F89047D"/>
    <w:rsid w:val="0F902DE9"/>
    <w:rsid w:val="0FAF3B89"/>
    <w:rsid w:val="0FF2263A"/>
    <w:rsid w:val="0FF743F3"/>
    <w:rsid w:val="10226131"/>
    <w:rsid w:val="1030476C"/>
    <w:rsid w:val="10CE2979"/>
    <w:rsid w:val="117E54A3"/>
    <w:rsid w:val="11B36FC1"/>
    <w:rsid w:val="11C46BC8"/>
    <w:rsid w:val="120578C0"/>
    <w:rsid w:val="121A5479"/>
    <w:rsid w:val="125063DB"/>
    <w:rsid w:val="13230943"/>
    <w:rsid w:val="136378DD"/>
    <w:rsid w:val="14224399"/>
    <w:rsid w:val="142F5DEA"/>
    <w:rsid w:val="15335CD0"/>
    <w:rsid w:val="15747DEC"/>
    <w:rsid w:val="15B5644C"/>
    <w:rsid w:val="16383D9B"/>
    <w:rsid w:val="1760054D"/>
    <w:rsid w:val="177F5D04"/>
    <w:rsid w:val="17B625A2"/>
    <w:rsid w:val="180612E0"/>
    <w:rsid w:val="180651D6"/>
    <w:rsid w:val="183C269B"/>
    <w:rsid w:val="18DB2185"/>
    <w:rsid w:val="19770EC6"/>
    <w:rsid w:val="19AD3B92"/>
    <w:rsid w:val="19E17120"/>
    <w:rsid w:val="1A397C36"/>
    <w:rsid w:val="1A50014D"/>
    <w:rsid w:val="1A862D7A"/>
    <w:rsid w:val="1AC37FD2"/>
    <w:rsid w:val="1B100919"/>
    <w:rsid w:val="1B581BE4"/>
    <w:rsid w:val="1BF57DF8"/>
    <w:rsid w:val="1C0F1F99"/>
    <w:rsid w:val="1CAE0755"/>
    <w:rsid w:val="1CF21CD4"/>
    <w:rsid w:val="1D5F2B52"/>
    <w:rsid w:val="1E762CC8"/>
    <w:rsid w:val="1E871F24"/>
    <w:rsid w:val="1EB16468"/>
    <w:rsid w:val="1F5A7BF0"/>
    <w:rsid w:val="1F74591E"/>
    <w:rsid w:val="1F8D11AC"/>
    <w:rsid w:val="1FA629B2"/>
    <w:rsid w:val="1FDA4B1C"/>
    <w:rsid w:val="203968B9"/>
    <w:rsid w:val="205A7FE6"/>
    <w:rsid w:val="20683116"/>
    <w:rsid w:val="206F10A2"/>
    <w:rsid w:val="210E3338"/>
    <w:rsid w:val="2119059B"/>
    <w:rsid w:val="211F20A1"/>
    <w:rsid w:val="21B26AA6"/>
    <w:rsid w:val="21BE583B"/>
    <w:rsid w:val="22326EEC"/>
    <w:rsid w:val="225E2F90"/>
    <w:rsid w:val="238C6ACC"/>
    <w:rsid w:val="23AC6EA8"/>
    <w:rsid w:val="23B63182"/>
    <w:rsid w:val="23CA108A"/>
    <w:rsid w:val="23D30869"/>
    <w:rsid w:val="24014A46"/>
    <w:rsid w:val="248E468E"/>
    <w:rsid w:val="24FA29B3"/>
    <w:rsid w:val="25124466"/>
    <w:rsid w:val="25B269D7"/>
    <w:rsid w:val="26333040"/>
    <w:rsid w:val="26547941"/>
    <w:rsid w:val="26B10DAC"/>
    <w:rsid w:val="26B132B2"/>
    <w:rsid w:val="26F11CEE"/>
    <w:rsid w:val="26F44EEB"/>
    <w:rsid w:val="273B1B93"/>
    <w:rsid w:val="279A3BD3"/>
    <w:rsid w:val="27F45294"/>
    <w:rsid w:val="27FA1B27"/>
    <w:rsid w:val="28ED39F8"/>
    <w:rsid w:val="2ACC7E35"/>
    <w:rsid w:val="2AD134D0"/>
    <w:rsid w:val="2B4462C9"/>
    <w:rsid w:val="2B6744EA"/>
    <w:rsid w:val="2B6A7180"/>
    <w:rsid w:val="2B92097F"/>
    <w:rsid w:val="2B9B75B1"/>
    <w:rsid w:val="2BBA4B16"/>
    <w:rsid w:val="2BCA252B"/>
    <w:rsid w:val="2BE7091F"/>
    <w:rsid w:val="2BF25F33"/>
    <w:rsid w:val="2CC06F05"/>
    <w:rsid w:val="2CDE2F47"/>
    <w:rsid w:val="2D3F3241"/>
    <w:rsid w:val="2D883928"/>
    <w:rsid w:val="2DAD0035"/>
    <w:rsid w:val="2DD340D4"/>
    <w:rsid w:val="2DD5713A"/>
    <w:rsid w:val="2DF23CE7"/>
    <w:rsid w:val="2E144CF6"/>
    <w:rsid w:val="2EB3553C"/>
    <w:rsid w:val="2F1C7060"/>
    <w:rsid w:val="2F7925E6"/>
    <w:rsid w:val="2F860950"/>
    <w:rsid w:val="2F96332C"/>
    <w:rsid w:val="2FD11C76"/>
    <w:rsid w:val="2FDF6A7A"/>
    <w:rsid w:val="2FFF1B6A"/>
    <w:rsid w:val="30FD2E53"/>
    <w:rsid w:val="31254921"/>
    <w:rsid w:val="31AB52F4"/>
    <w:rsid w:val="3204330F"/>
    <w:rsid w:val="32327DD4"/>
    <w:rsid w:val="326D231E"/>
    <w:rsid w:val="329F457D"/>
    <w:rsid w:val="32FC2147"/>
    <w:rsid w:val="33C43804"/>
    <w:rsid w:val="34535452"/>
    <w:rsid w:val="349E1C8A"/>
    <w:rsid w:val="34C860C5"/>
    <w:rsid w:val="35817AC0"/>
    <w:rsid w:val="36482D7F"/>
    <w:rsid w:val="3659150A"/>
    <w:rsid w:val="376728C6"/>
    <w:rsid w:val="386F1C9F"/>
    <w:rsid w:val="38A532DF"/>
    <w:rsid w:val="38AA73F3"/>
    <w:rsid w:val="38EB7630"/>
    <w:rsid w:val="39591DEB"/>
    <w:rsid w:val="39726ADA"/>
    <w:rsid w:val="39F37471"/>
    <w:rsid w:val="3A212C1D"/>
    <w:rsid w:val="3AA96B03"/>
    <w:rsid w:val="3B086386"/>
    <w:rsid w:val="3B4703C5"/>
    <w:rsid w:val="3B492097"/>
    <w:rsid w:val="3B613443"/>
    <w:rsid w:val="3B7806A9"/>
    <w:rsid w:val="3B84228F"/>
    <w:rsid w:val="3BF33D18"/>
    <w:rsid w:val="3C6A257C"/>
    <w:rsid w:val="3CA74F88"/>
    <w:rsid w:val="3CC31DBE"/>
    <w:rsid w:val="3CCD26C9"/>
    <w:rsid w:val="3CDC32AC"/>
    <w:rsid w:val="3D2C4A96"/>
    <w:rsid w:val="3D473F68"/>
    <w:rsid w:val="3D861283"/>
    <w:rsid w:val="3D8E017B"/>
    <w:rsid w:val="3DFE788B"/>
    <w:rsid w:val="3E0114A1"/>
    <w:rsid w:val="3F3414C4"/>
    <w:rsid w:val="3F7040BE"/>
    <w:rsid w:val="3FE37859"/>
    <w:rsid w:val="3FE61E7B"/>
    <w:rsid w:val="40504B4A"/>
    <w:rsid w:val="40635E23"/>
    <w:rsid w:val="40B640FB"/>
    <w:rsid w:val="40F93C49"/>
    <w:rsid w:val="41243E41"/>
    <w:rsid w:val="415C49C0"/>
    <w:rsid w:val="4191380A"/>
    <w:rsid w:val="42B52762"/>
    <w:rsid w:val="42E979EF"/>
    <w:rsid w:val="430141A2"/>
    <w:rsid w:val="43656117"/>
    <w:rsid w:val="43A26A70"/>
    <w:rsid w:val="43E15FBD"/>
    <w:rsid w:val="441D6458"/>
    <w:rsid w:val="454D4204"/>
    <w:rsid w:val="45CD0656"/>
    <w:rsid w:val="46015044"/>
    <w:rsid w:val="461E5548"/>
    <w:rsid w:val="4648512D"/>
    <w:rsid w:val="464C4638"/>
    <w:rsid w:val="46721859"/>
    <w:rsid w:val="46FB069D"/>
    <w:rsid w:val="4704648B"/>
    <w:rsid w:val="47333C60"/>
    <w:rsid w:val="473E1884"/>
    <w:rsid w:val="47A31A5D"/>
    <w:rsid w:val="48543F0F"/>
    <w:rsid w:val="488E7E4C"/>
    <w:rsid w:val="48BD5E09"/>
    <w:rsid w:val="48BF4D0E"/>
    <w:rsid w:val="49050164"/>
    <w:rsid w:val="491F7F74"/>
    <w:rsid w:val="4939300D"/>
    <w:rsid w:val="49A6754C"/>
    <w:rsid w:val="4A062782"/>
    <w:rsid w:val="4A415B03"/>
    <w:rsid w:val="4A782BCF"/>
    <w:rsid w:val="4A9A7FF6"/>
    <w:rsid w:val="4AF05171"/>
    <w:rsid w:val="4B2F2D81"/>
    <w:rsid w:val="4B4D5DF1"/>
    <w:rsid w:val="4B4E1BC2"/>
    <w:rsid w:val="4B5977E8"/>
    <w:rsid w:val="4B662A75"/>
    <w:rsid w:val="4B831823"/>
    <w:rsid w:val="4B8B756A"/>
    <w:rsid w:val="4C19100C"/>
    <w:rsid w:val="4C682276"/>
    <w:rsid w:val="4CC10537"/>
    <w:rsid w:val="4CCF190F"/>
    <w:rsid w:val="4D5D26FB"/>
    <w:rsid w:val="4D8006AA"/>
    <w:rsid w:val="4E065B75"/>
    <w:rsid w:val="4F03225F"/>
    <w:rsid w:val="4F2B6098"/>
    <w:rsid w:val="4F4D1513"/>
    <w:rsid w:val="4F6A2EB4"/>
    <w:rsid w:val="4FA3003C"/>
    <w:rsid w:val="4FFE7C66"/>
    <w:rsid w:val="503B16BE"/>
    <w:rsid w:val="503B3723"/>
    <w:rsid w:val="505E75CF"/>
    <w:rsid w:val="50A94687"/>
    <w:rsid w:val="50B900B0"/>
    <w:rsid w:val="50BE0F6B"/>
    <w:rsid w:val="50DF07DD"/>
    <w:rsid w:val="50EE47C5"/>
    <w:rsid w:val="51086930"/>
    <w:rsid w:val="512A5EFF"/>
    <w:rsid w:val="51890598"/>
    <w:rsid w:val="51D60132"/>
    <w:rsid w:val="52290F63"/>
    <w:rsid w:val="52442D22"/>
    <w:rsid w:val="524A7224"/>
    <w:rsid w:val="52C6372F"/>
    <w:rsid w:val="52CD0CA4"/>
    <w:rsid w:val="52D50073"/>
    <w:rsid w:val="533F4F11"/>
    <w:rsid w:val="53456982"/>
    <w:rsid w:val="5388224B"/>
    <w:rsid w:val="538E6878"/>
    <w:rsid w:val="53E46136"/>
    <w:rsid w:val="54001F77"/>
    <w:rsid w:val="549764EA"/>
    <w:rsid w:val="55C6697D"/>
    <w:rsid w:val="56344E0B"/>
    <w:rsid w:val="564E4FBB"/>
    <w:rsid w:val="566C6289"/>
    <w:rsid w:val="56926078"/>
    <w:rsid w:val="56B010A8"/>
    <w:rsid w:val="56D918ED"/>
    <w:rsid w:val="56DB5075"/>
    <w:rsid w:val="56FE6758"/>
    <w:rsid w:val="572F1B3B"/>
    <w:rsid w:val="5981509D"/>
    <w:rsid w:val="59FB4887"/>
    <w:rsid w:val="5A46244C"/>
    <w:rsid w:val="5A760B51"/>
    <w:rsid w:val="5AB86A2D"/>
    <w:rsid w:val="5B785C19"/>
    <w:rsid w:val="5BE5332D"/>
    <w:rsid w:val="5D464ABC"/>
    <w:rsid w:val="5DF91EBE"/>
    <w:rsid w:val="5E3144B5"/>
    <w:rsid w:val="5E7B24BB"/>
    <w:rsid w:val="5E7E10B9"/>
    <w:rsid w:val="5E892860"/>
    <w:rsid w:val="5EA36B54"/>
    <w:rsid w:val="5EF3208A"/>
    <w:rsid w:val="5F46011C"/>
    <w:rsid w:val="602C3F52"/>
    <w:rsid w:val="60B51083"/>
    <w:rsid w:val="60EA4B85"/>
    <w:rsid w:val="61261CED"/>
    <w:rsid w:val="6147700E"/>
    <w:rsid w:val="61C12FB4"/>
    <w:rsid w:val="6254358B"/>
    <w:rsid w:val="63DE4677"/>
    <w:rsid w:val="643D7AAA"/>
    <w:rsid w:val="649D3F56"/>
    <w:rsid w:val="64E96177"/>
    <w:rsid w:val="6521432B"/>
    <w:rsid w:val="65310379"/>
    <w:rsid w:val="65603E4F"/>
    <w:rsid w:val="65902B7E"/>
    <w:rsid w:val="65D12DC8"/>
    <w:rsid w:val="65E3492F"/>
    <w:rsid w:val="663C0658"/>
    <w:rsid w:val="66B56B06"/>
    <w:rsid w:val="674F7EB2"/>
    <w:rsid w:val="67853BB0"/>
    <w:rsid w:val="67BE460A"/>
    <w:rsid w:val="68040CE2"/>
    <w:rsid w:val="68165103"/>
    <w:rsid w:val="682628F2"/>
    <w:rsid w:val="68635A52"/>
    <w:rsid w:val="68A7389D"/>
    <w:rsid w:val="698D3E61"/>
    <w:rsid w:val="69A9540B"/>
    <w:rsid w:val="69CB2C91"/>
    <w:rsid w:val="6A4F640C"/>
    <w:rsid w:val="6A913973"/>
    <w:rsid w:val="6AA11ABF"/>
    <w:rsid w:val="6AAF0A63"/>
    <w:rsid w:val="6B1077A1"/>
    <w:rsid w:val="6B4665A9"/>
    <w:rsid w:val="6B8364D5"/>
    <w:rsid w:val="6BF85D6E"/>
    <w:rsid w:val="6C131C11"/>
    <w:rsid w:val="6C2305C6"/>
    <w:rsid w:val="6C250301"/>
    <w:rsid w:val="6C7B2B92"/>
    <w:rsid w:val="6D330158"/>
    <w:rsid w:val="6D4D5EA9"/>
    <w:rsid w:val="6DBA7B72"/>
    <w:rsid w:val="6DEC3160"/>
    <w:rsid w:val="6DF87EB0"/>
    <w:rsid w:val="6E0C36B9"/>
    <w:rsid w:val="6E9F6530"/>
    <w:rsid w:val="6EE90FDC"/>
    <w:rsid w:val="6F1B3180"/>
    <w:rsid w:val="701E1647"/>
    <w:rsid w:val="70485214"/>
    <w:rsid w:val="711736E6"/>
    <w:rsid w:val="712414D2"/>
    <w:rsid w:val="71550187"/>
    <w:rsid w:val="716F0612"/>
    <w:rsid w:val="717C0DDA"/>
    <w:rsid w:val="71B20962"/>
    <w:rsid w:val="71F2641F"/>
    <w:rsid w:val="725318F4"/>
    <w:rsid w:val="726C736E"/>
    <w:rsid w:val="72737A7B"/>
    <w:rsid w:val="727B76EE"/>
    <w:rsid w:val="727F6935"/>
    <w:rsid w:val="72BA79E2"/>
    <w:rsid w:val="730E2618"/>
    <w:rsid w:val="73B624D9"/>
    <w:rsid w:val="73F57C8F"/>
    <w:rsid w:val="74014356"/>
    <w:rsid w:val="743A7F52"/>
    <w:rsid w:val="748171FC"/>
    <w:rsid w:val="749F62C0"/>
    <w:rsid w:val="74AA233F"/>
    <w:rsid w:val="74E31464"/>
    <w:rsid w:val="75474034"/>
    <w:rsid w:val="7557474D"/>
    <w:rsid w:val="75B141DA"/>
    <w:rsid w:val="75FE5550"/>
    <w:rsid w:val="76347622"/>
    <w:rsid w:val="764E139B"/>
    <w:rsid w:val="76CC031B"/>
    <w:rsid w:val="77352ABF"/>
    <w:rsid w:val="776833C8"/>
    <w:rsid w:val="777F3BA7"/>
    <w:rsid w:val="77F35D00"/>
    <w:rsid w:val="77F368C1"/>
    <w:rsid w:val="785A5E06"/>
    <w:rsid w:val="78905039"/>
    <w:rsid w:val="789C41EA"/>
    <w:rsid w:val="78B448EF"/>
    <w:rsid w:val="78E108B6"/>
    <w:rsid w:val="78F33282"/>
    <w:rsid w:val="7911019A"/>
    <w:rsid w:val="791874A0"/>
    <w:rsid w:val="792B0C8F"/>
    <w:rsid w:val="795112D6"/>
    <w:rsid w:val="79771ED3"/>
    <w:rsid w:val="798619ED"/>
    <w:rsid w:val="79900DBF"/>
    <w:rsid w:val="79DB6106"/>
    <w:rsid w:val="7B040E3E"/>
    <w:rsid w:val="7B57034A"/>
    <w:rsid w:val="7BBA4821"/>
    <w:rsid w:val="7C331766"/>
    <w:rsid w:val="7C3F5D95"/>
    <w:rsid w:val="7C6F0DCB"/>
    <w:rsid w:val="7D2A300E"/>
    <w:rsid w:val="7D2B5E16"/>
    <w:rsid w:val="7D387634"/>
    <w:rsid w:val="7D423E5A"/>
    <w:rsid w:val="7D4959CD"/>
    <w:rsid w:val="7E060260"/>
    <w:rsid w:val="7E3358BD"/>
    <w:rsid w:val="7E854AFC"/>
    <w:rsid w:val="7EB209FB"/>
    <w:rsid w:val="7F0314EB"/>
    <w:rsid w:val="7F293A54"/>
    <w:rsid w:val="7F527FFF"/>
    <w:rsid w:val="7F755102"/>
    <w:rsid w:val="7FA76CB0"/>
    <w:rsid w:val="7FB0093B"/>
    <w:rsid w:val="7FF34C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2019-09-30T02:43:00Z</dcterms:created>
  <dc:creator>Administrator</dc:creator>
  <cp:lastModifiedBy>Administrator</cp:lastModifiedBy>
  <cp:lastPrinted>2021-05-20T02:10:00Z</cp:lastPrinted>
  <dcterms:modified xsi:type="dcterms:W3CDTF">2021-05-21T01:34:34Z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16D2A1C4F7674A65A640E0FE850AFD86</vt:lpwstr>
  </property>
</Properties>
</file>