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keepLines/>
        <w:spacing w:after="0" w:line="600" w:lineRule="exact"/>
        <w:rPr>
          <w:rFonts w:ascii="方正小标宋_GBK" w:hAnsi="方正小标宋_GBK" w:eastAsia="方正小标宋_GBK" w:cs="方正小标宋_GBK"/>
          <w:b/>
          <w:bCs/>
          <w:sz w:val="44"/>
          <w:szCs w:val="44"/>
        </w:rPr>
      </w:pPr>
      <w:bookmarkStart w:id="0" w:name="bookmark2"/>
      <w:bookmarkStart w:id="1" w:name="bookmark0"/>
      <w:bookmarkStart w:id="2" w:name="bookmark1"/>
      <w:bookmarkStart w:id="27" w:name="_GoBack"/>
      <w:r>
        <w:rPr>
          <w:rFonts w:hint="eastAsia" w:ascii="方正小标宋_GBK" w:hAnsi="方正小标宋_GBK" w:eastAsia="方正小标宋_GBK" w:cs="方正小标宋_GBK"/>
          <w:b/>
          <w:bCs/>
          <w:sz w:val="44"/>
          <w:szCs w:val="44"/>
        </w:rPr>
        <w:t>宿州市食盐储备管理暂行办法</w:t>
      </w:r>
      <w:bookmarkEnd w:id="0"/>
      <w:bookmarkEnd w:id="1"/>
      <w:bookmarkEnd w:id="2"/>
    </w:p>
    <w:p>
      <w:pPr>
        <w:pStyle w:val="10"/>
        <w:keepNext/>
        <w:keepLines/>
        <w:spacing w:after="0" w:line="600" w:lineRule="exact"/>
        <w:rPr>
          <w:rFonts w:ascii="方正小标宋_GBK" w:hAnsi="方正小标宋_GBK" w:eastAsia="方正小标宋_GBK" w:cs="方正小标宋_GBK"/>
          <w:b/>
          <w:bCs/>
          <w:sz w:val="44"/>
          <w:szCs w:val="44"/>
        </w:rPr>
      </w:pPr>
      <w:r>
        <w:rPr>
          <w:rFonts w:hint="eastAsia" w:ascii="方正小标宋_GBK" w:hAnsi="方正小标宋_GBK" w:eastAsia="方正小标宋_GBK" w:cs="方正小标宋_GBK"/>
          <w:b/>
          <w:bCs/>
          <w:sz w:val="44"/>
          <w:szCs w:val="44"/>
        </w:rPr>
        <w:t>（</w:t>
      </w:r>
      <w:r>
        <w:rPr>
          <w:rFonts w:hint="eastAsia" w:ascii="方正小标宋_GBK" w:hAnsi="方正小标宋_GBK" w:eastAsia="方正小标宋_GBK" w:cs="方正小标宋_GBK"/>
          <w:b/>
          <w:bCs/>
          <w:sz w:val="44"/>
          <w:szCs w:val="44"/>
          <w:lang w:eastAsia="zh-CN"/>
        </w:rPr>
        <w:t>征求意见稿</w:t>
      </w:r>
      <w:r>
        <w:rPr>
          <w:rFonts w:hint="eastAsia" w:ascii="方正小标宋_GBK" w:hAnsi="方正小标宋_GBK" w:eastAsia="方正小标宋_GBK" w:cs="方正小标宋_GBK"/>
          <w:b/>
          <w:bCs/>
          <w:sz w:val="44"/>
          <w:szCs w:val="44"/>
        </w:rPr>
        <w:t>）</w:t>
      </w:r>
    </w:p>
    <w:bookmarkEnd w:id="27"/>
    <w:p>
      <w:pPr>
        <w:pStyle w:val="10"/>
        <w:keepNext/>
        <w:keepLines/>
        <w:spacing w:after="0" w:line="520" w:lineRule="exact"/>
        <w:rPr>
          <w:b/>
          <w:bCs/>
          <w:sz w:val="44"/>
          <w:szCs w:val="44"/>
        </w:rPr>
      </w:pPr>
    </w:p>
    <w:p>
      <w:pPr>
        <w:pStyle w:val="11"/>
        <w:spacing w:line="54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为加强全市食盐储备管理，增强应对各类突发事件能力，维护食盐市场稳定，保障食盐供应安全，根据《食盐专营办法》（中华人民共和国国务院令第696号）《安徽省盐业体制改革实施方案》（皖政〔2016〕110号）《安徽省人民政府办公厅关于印发安徽省省级食盐储备管理暂行办法的通知》（皖政办〔2012〕15号）等精神，结合我市实际，制定本办法。</w:t>
      </w:r>
    </w:p>
    <w:p>
      <w:pPr>
        <w:pStyle w:val="11"/>
        <w:spacing w:line="540" w:lineRule="exact"/>
        <w:ind w:firstLine="640" w:firstLineChars="200"/>
        <w:jc w:val="both"/>
        <w:rPr>
          <w:rFonts w:ascii="黑体" w:hAnsi="黑体" w:eastAsia="黑体" w:cs="黑体"/>
          <w:sz w:val="32"/>
          <w:szCs w:val="32"/>
        </w:rPr>
      </w:pPr>
      <w:r>
        <w:rPr>
          <w:rFonts w:hint="eastAsia" w:ascii="黑体" w:hAnsi="黑体" w:eastAsia="黑体" w:cs="黑体"/>
          <w:sz w:val="32"/>
          <w:szCs w:val="32"/>
          <w:lang w:val="en-US" w:eastAsia="en-US" w:bidi="en-US"/>
        </w:rPr>
        <w:t>—</w:t>
      </w:r>
      <w:r>
        <w:rPr>
          <w:rFonts w:hint="eastAsia" w:ascii="黑体" w:hAnsi="黑体" w:eastAsia="黑体" w:cs="黑体"/>
          <w:sz w:val="32"/>
          <w:szCs w:val="32"/>
        </w:rPr>
        <w:t>、总则</w:t>
      </w:r>
      <w:bookmarkStart w:id="3" w:name="bookmark3"/>
    </w:p>
    <w:bookmarkEnd w:id="3"/>
    <w:p>
      <w:pPr>
        <w:pStyle w:val="5"/>
        <w:shd w:val="clear" w:color="auto" w:fill="FFFFFF"/>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本办法所称食盐储备是指用于应对我市各类突发事件应急需要和调节食盐市场异常波动的质量符合国家食用盐标准成品食盐储备，由政府储备和企业社会责任储备组成。市级政府食盐储备遵循“企业储备、银行贷款、政府补贴、统一调度”的原则，采取“滚动储备、定期轮换”的商业化管理模式。</w:t>
      </w:r>
      <w:bookmarkStart w:id="4" w:name="bookmark4"/>
      <w:r>
        <w:rPr>
          <w:rFonts w:hint="eastAsia" w:ascii="仿宋_GB2312" w:hAnsi="仿宋_GB2312" w:eastAsia="仿宋_GB2312" w:cs="仿宋_GB2312"/>
          <w:sz w:val="32"/>
          <w:szCs w:val="32"/>
        </w:rPr>
        <w:t>鼓励食盐定点生产企业和食盐定点批发企业建立成本自担的社会责任储备。</w:t>
      </w:r>
      <w:bookmarkEnd w:id="4"/>
    </w:p>
    <w:p>
      <w:pPr>
        <w:pStyle w:val="5"/>
        <w:shd w:val="clear" w:color="auto" w:fill="FFFFFF"/>
        <w:ind w:firstLine="640" w:firstLineChars="200"/>
        <w:jc w:val="both"/>
        <w:rPr>
          <w:rFonts w:hint="eastAsia" w:ascii="仿宋_GB2312" w:hAnsi="仿宋_GB2312" w:eastAsia="仿宋_GB2312" w:cs="仿宋_GB2312"/>
          <w:color w:val="FF0000"/>
          <w:sz w:val="28"/>
          <w:szCs w:val="28"/>
          <w:lang w:val="en-US" w:eastAsia="zh-CN"/>
        </w:rPr>
      </w:pP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本办法适用于</w:t>
      </w:r>
      <w:r>
        <w:rPr>
          <w:rFonts w:hint="eastAsia" w:ascii="仿宋_GB2312" w:hAnsi="仿宋_GB2312" w:eastAsia="仿宋_GB2312" w:cs="仿宋_GB2312"/>
          <w:sz w:val="32"/>
          <w:szCs w:val="32"/>
          <w:lang w:eastAsia="zh-CN"/>
        </w:rPr>
        <w:t>本</w:t>
      </w:r>
      <w:r>
        <w:rPr>
          <w:rFonts w:hint="eastAsia" w:ascii="仿宋_GB2312" w:hAnsi="仿宋_GB2312" w:eastAsia="仿宋_GB2312" w:cs="仿宋_GB2312"/>
          <w:sz w:val="32"/>
          <w:szCs w:val="32"/>
        </w:rPr>
        <w:t>市行政区划内。</w:t>
      </w:r>
    </w:p>
    <w:p>
      <w:pPr>
        <w:ind w:firstLine="640" w:firstLineChars="200"/>
        <w:jc w:val="left"/>
        <w:rPr>
          <w:rFonts w:hint="eastAsia" w:ascii="仿宋_GB2312" w:hAnsi="仿宋_GB2312" w:eastAsia="仿宋_GB2312" w:cs="仿宋_GB2312"/>
          <w:b w:val="0"/>
          <w:bCs w:val="0"/>
          <w:color w:val="FF0000"/>
          <w:sz w:val="28"/>
          <w:szCs w:val="28"/>
        </w:rPr>
      </w:pPr>
      <w:bookmarkStart w:id="5" w:name="bookmark5"/>
      <w:r>
        <w:rPr>
          <w:rFonts w:hint="eastAsia" w:ascii="仿宋_GB2312" w:hAnsi="仿宋_GB2312" w:eastAsia="仿宋_GB2312" w:cs="仿宋_GB2312"/>
          <w:sz w:val="32"/>
          <w:szCs w:val="32"/>
        </w:rPr>
        <w:t>（</w:t>
      </w:r>
      <w:bookmarkEnd w:id="5"/>
      <w:r>
        <w:rPr>
          <w:rFonts w:hint="eastAsia" w:ascii="仿宋_GB2312" w:hAnsi="仿宋_GB2312" w:eastAsia="仿宋_GB2312" w:cs="仿宋_GB2312"/>
          <w:sz w:val="32"/>
          <w:szCs w:val="32"/>
        </w:rPr>
        <w:t>三）市经济和信息化局负责食盐储备管理工作。包括编制年度市级政府食盐储备计划，会同市财政局下达并监督执行；牵头协调市级政府食盐储备管理中的有关问题；对政府食盐储备和企业储备库存情况实施监督检查；组织食盐应急供应保障。</w:t>
      </w:r>
      <w:bookmarkStart w:id="6" w:name="bookmark6"/>
    </w:p>
    <w:p>
      <w:pPr>
        <w:pStyle w:val="11"/>
        <w:tabs>
          <w:tab w:val="left" w:pos="1038"/>
        </w:tabs>
        <w:spacing w:line="540" w:lineRule="exact"/>
        <w:ind w:left="0" w:leftChars="0" w:firstLine="640" w:firstLineChars="200"/>
        <w:jc w:val="both"/>
        <w:rPr>
          <w:rFonts w:hint="eastAsia" w:ascii="仿宋_GB2312" w:hAnsi="仿宋_GB2312" w:eastAsia="仿宋_GB2312" w:cs="仿宋_GB2312"/>
          <w:b w:val="0"/>
          <w:bCs w:val="0"/>
          <w:color w:val="FF0000"/>
          <w:sz w:val="28"/>
          <w:szCs w:val="28"/>
        </w:rPr>
      </w:pPr>
      <w:r>
        <w:rPr>
          <w:rFonts w:hint="eastAsia" w:ascii="仿宋_GB2312" w:hAnsi="仿宋_GB2312" w:eastAsia="仿宋_GB2312" w:cs="仿宋_GB2312"/>
          <w:sz w:val="32"/>
          <w:szCs w:val="32"/>
        </w:rPr>
        <w:t>（</w:t>
      </w:r>
      <w:bookmarkEnd w:id="6"/>
      <w:r>
        <w:rPr>
          <w:rFonts w:hint="eastAsia" w:ascii="仿宋_GB2312" w:hAnsi="仿宋_GB2312" w:eastAsia="仿宋_GB2312" w:cs="仿宋_GB2312"/>
          <w:sz w:val="32"/>
          <w:szCs w:val="32"/>
        </w:rPr>
        <w:t>四）市财政局负责安排市级政府食盐储备补贴资金。包括编制市级政府食盐储备补贴资金预算，按规定拨付储备补贴，组织储备费用补贴清算。</w:t>
      </w:r>
    </w:p>
    <w:p>
      <w:pPr>
        <w:widowControl/>
        <w:ind w:firstLine="640" w:firstLineChars="200"/>
        <w:jc w:val="left"/>
        <w:rPr>
          <w:rFonts w:hint="eastAsia" w:ascii="仿宋_GB2312" w:hAnsi="仿宋_GB2312" w:eastAsia="仿宋_GB2312" w:cs="仿宋_GB2312"/>
          <w:b w:val="0"/>
          <w:bCs w:val="0"/>
          <w:color w:val="FF0000"/>
          <w:sz w:val="32"/>
          <w:szCs w:val="32"/>
          <w:lang w:val="en-US" w:eastAsia="zh-CN"/>
        </w:rPr>
      </w:pPr>
      <w:bookmarkStart w:id="7" w:name="bookmark7"/>
      <w:r>
        <w:rPr>
          <w:rFonts w:hint="eastAsia" w:ascii="仿宋_GB2312" w:hAnsi="仿宋_GB2312" w:eastAsia="仿宋_GB2312" w:cs="仿宋_GB2312"/>
          <w:sz w:val="32"/>
          <w:szCs w:val="32"/>
        </w:rPr>
        <w:t>（</w:t>
      </w:r>
      <w:bookmarkEnd w:id="7"/>
      <w:r>
        <w:rPr>
          <w:rFonts w:hint="eastAsia" w:ascii="仿宋_GB2312" w:hAnsi="仿宋_GB2312" w:eastAsia="仿宋_GB2312" w:cs="仿宋_GB2312"/>
          <w:sz w:val="32"/>
          <w:szCs w:val="32"/>
        </w:rPr>
        <w:t>五）各县食盐储备由当地政府根据本地区实际情况组织实施。</w:t>
      </w:r>
      <w:r>
        <w:rPr>
          <w:rFonts w:hint="eastAsia" w:ascii="仿宋_GB2312" w:hAnsi="仿宋_GB2312" w:eastAsia="仿宋_GB2312" w:cs="仿宋_GB2312"/>
          <w:b w:val="0"/>
          <w:bCs w:val="0"/>
          <w:color w:val="auto"/>
          <w:kern w:val="0"/>
          <w:sz w:val="32"/>
          <w:szCs w:val="32"/>
          <w:lang w:bidi="ar"/>
        </w:rPr>
        <w:t>（责任单位：</w:t>
      </w:r>
      <w:r>
        <w:rPr>
          <w:rFonts w:hint="eastAsia" w:ascii="仿宋_GB2312" w:hAnsi="仿宋_GB2312" w:eastAsia="仿宋_GB2312" w:cs="仿宋_GB2312"/>
          <w:b w:val="0"/>
          <w:bCs w:val="0"/>
          <w:color w:val="auto"/>
          <w:kern w:val="0"/>
          <w:sz w:val="32"/>
          <w:szCs w:val="32"/>
          <w:lang w:eastAsia="zh-CN" w:bidi="ar"/>
        </w:rPr>
        <w:t>市</w:t>
      </w:r>
      <w:r>
        <w:rPr>
          <w:rFonts w:hint="eastAsia" w:ascii="仿宋_GB2312" w:hAnsi="仿宋_GB2312" w:eastAsia="仿宋_GB2312" w:cs="仿宋_GB2312"/>
          <w:b w:val="0"/>
          <w:bCs w:val="0"/>
          <w:color w:val="auto"/>
          <w:kern w:val="0"/>
          <w:sz w:val="32"/>
          <w:szCs w:val="32"/>
          <w:lang w:bidi="ar"/>
        </w:rPr>
        <w:t>经济和信息化</w:t>
      </w:r>
      <w:r>
        <w:rPr>
          <w:rFonts w:hint="eastAsia" w:ascii="仿宋_GB2312" w:hAnsi="仿宋_GB2312" w:eastAsia="仿宋_GB2312" w:cs="仿宋_GB2312"/>
          <w:b w:val="0"/>
          <w:bCs w:val="0"/>
          <w:color w:val="auto"/>
          <w:kern w:val="0"/>
          <w:sz w:val="32"/>
          <w:szCs w:val="32"/>
          <w:lang w:eastAsia="zh-CN" w:bidi="ar"/>
        </w:rPr>
        <w:t>局</w:t>
      </w:r>
      <w:r>
        <w:rPr>
          <w:rFonts w:hint="eastAsia" w:ascii="仿宋_GB2312" w:hAnsi="仿宋_GB2312" w:eastAsia="仿宋_GB2312" w:cs="仿宋_GB2312"/>
          <w:b w:val="0"/>
          <w:bCs w:val="0"/>
          <w:color w:val="auto"/>
          <w:kern w:val="0"/>
          <w:sz w:val="32"/>
          <w:szCs w:val="32"/>
          <w:lang w:bidi="ar"/>
        </w:rPr>
        <w:t>、</w:t>
      </w:r>
      <w:r>
        <w:rPr>
          <w:rFonts w:hint="eastAsia" w:ascii="仿宋_GB2312" w:hAnsi="仿宋_GB2312" w:eastAsia="仿宋_GB2312" w:cs="仿宋_GB2312"/>
          <w:b w:val="0"/>
          <w:bCs w:val="0"/>
          <w:color w:val="auto"/>
          <w:kern w:val="0"/>
          <w:sz w:val="32"/>
          <w:szCs w:val="32"/>
          <w:lang w:eastAsia="zh-CN" w:bidi="ar"/>
        </w:rPr>
        <w:t>市</w:t>
      </w:r>
      <w:r>
        <w:rPr>
          <w:rFonts w:hint="eastAsia" w:ascii="仿宋_GB2312" w:hAnsi="仿宋_GB2312" w:eastAsia="仿宋_GB2312" w:cs="仿宋_GB2312"/>
          <w:b w:val="0"/>
          <w:bCs w:val="0"/>
          <w:color w:val="auto"/>
          <w:kern w:val="0"/>
          <w:sz w:val="32"/>
          <w:szCs w:val="32"/>
          <w:lang w:bidi="ar"/>
        </w:rPr>
        <w:t>财政</w:t>
      </w:r>
      <w:r>
        <w:rPr>
          <w:rFonts w:hint="eastAsia" w:ascii="仿宋_GB2312" w:hAnsi="仿宋_GB2312" w:eastAsia="仿宋_GB2312" w:cs="仿宋_GB2312"/>
          <w:b w:val="0"/>
          <w:bCs w:val="0"/>
          <w:color w:val="auto"/>
          <w:kern w:val="0"/>
          <w:sz w:val="32"/>
          <w:szCs w:val="32"/>
          <w:lang w:eastAsia="zh-CN" w:bidi="ar"/>
        </w:rPr>
        <w:t>局</w:t>
      </w:r>
      <w:r>
        <w:rPr>
          <w:rFonts w:hint="eastAsia" w:ascii="仿宋_GB2312" w:hAnsi="仿宋_GB2312" w:eastAsia="仿宋_GB2312" w:cs="仿宋_GB2312"/>
          <w:b w:val="0"/>
          <w:bCs w:val="0"/>
          <w:color w:val="auto"/>
          <w:kern w:val="0"/>
          <w:sz w:val="32"/>
          <w:szCs w:val="32"/>
          <w:lang w:bidi="ar"/>
        </w:rPr>
        <w:t>、</w:t>
      </w:r>
      <w:r>
        <w:rPr>
          <w:rFonts w:hint="eastAsia" w:ascii="仿宋_GB2312" w:hAnsi="仿宋_GB2312" w:eastAsia="仿宋_GB2312" w:cs="仿宋_GB2312"/>
          <w:b w:val="0"/>
          <w:bCs w:val="0"/>
          <w:color w:val="auto"/>
          <w:kern w:val="0"/>
          <w:sz w:val="32"/>
          <w:szCs w:val="32"/>
          <w:lang w:eastAsia="zh-CN" w:bidi="ar"/>
        </w:rPr>
        <w:t>市</w:t>
      </w:r>
      <w:r>
        <w:rPr>
          <w:rFonts w:hint="eastAsia" w:ascii="仿宋_GB2312" w:hAnsi="仿宋_GB2312" w:eastAsia="仿宋_GB2312" w:cs="仿宋_GB2312"/>
          <w:b w:val="0"/>
          <w:bCs w:val="0"/>
          <w:color w:val="auto"/>
          <w:kern w:val="0"/>
          <w:sz w:val="32"/>
          <w:szCs w:val="32"/>
          <w:lang w:bidi="ar"/>
        </w:rPr>
        <w:t>发展改革委、</w:t>
      </w:r>
      <w:r>
        <w:rPr>
          <w:rFonts w:hint="eastAsia" w:ascii="仿宋_GB2312" w:hAnsi="仿宋_GB2312" w:eastAsia="仿宋_GB2312" w:cs="仿宋_GB2312"/>
          <w:b w:val="0"/>
          <w:bCs w:val="0"/>
          <w:color w:val="auto"/>
          <w:kern w:val="0"/>
          <w:sz w:val="32"/>
          <w:szCs w:val="32"/>
          <w:lang w:eastAsia="zh-CN" w:bidi="ar"/>
        </w:rPr>
        <w:t>市</w:t>
      </w:r>
      <w:r>
        <w:rPr>
          <w:rFonts w:hint="eastAsia" w:ascii="仿宋_GB2312" w:hAnsi="仿宋_GB2312" w:eastAsia="仿宋_GB2312" w:cs="仿宋_GB2312"/>
          <w:b w:val="0"/>
          <w:bCs w:val="0"/>
          <w:color w:val="auto"/>
          <w:kern w:val="0"/>
          <w:sz w:val="32"/>
          <w:szCs w:val="32"/>
          <w:lang w:bidi="ar"/>
        </w:rPr>
        <w:t>商务</w:t>
      </w:r>
      <w:r>
        <w:rPr>
          <w:rFonts w:hint="eastAsia" w:ascii="仿宋_GB2312" w:hAnsi="仿宋_GB2312" w:eastAsia="仿宋_GB2312" w:cs="仿宋_GB2312"/>
          <w:b w:val="0"/>
          <w:bCs w:val="0"/>
          <w:color w:val="auto"/>
          <w:kern w:val="0"/>
          <w:sz w:val="32"/>
          <w:szCs w:val="32"/>
          <w:lang w:eastAsia="zh-CN" w:bidi="ar"/>
        </w:rPr>
        <w:t>局</w:t>
      </w:r>
      <w:r>
        <w:rPr>
          <w:rFonts w:hint="eastAsia" w:ascii="仿宋_GB2312" w:hAnsi="仿宋_GB2312" w:eastAsia="仿宋_GB2312" w:cs="仿宋_GB2312"/>
          <w:b w:val="0"/>
          <w:bCs w:val="0"/>
          <w:color w:val="auto"/>
          <w:kern w:val="0"/>
          <w:sz w:val="32"/>
          <w:szCs w:val="32"/>
          <w:lang w:bidi="ar"/>
        </w:rPr>
        <w:t>、</w:t>
      </w:r>
      <w:r>
        <w:rPr>
          <w:rFonts w:hint="eastAsia" w:ascii="仿宋_GB2312" w:hAnsi="仿宋_GB2312" w:eastAsia="仿宋_GB2312" w:cs="仿宋_GB2312"/>
          <w:b w:val="0"/>
          <w:bCs w:val="0"/>
          <w:color w:val="auto"/>
          <w:kern w:val="0"/>
          <w:sz w:val="32"/>
          <w:szCs w:val="32"/>
          <w:lang w:eastAsia="zh-CN" w:bidi="ar"/>
        </w:rPr>
        <w:t>市</w:t>
      </w:r>
      <w:r>
        <w:rPr>
          <w:rFonts w:hint="eastAsia" w:ascii="仿宋_GB2312" w:hAnsi="仿宋_GB2312" w:eastAsia="仿宋_GB2312" w:cs="仿宋_GB2312"/>
          <w:b w:val="0"/>
          <w:bCs w:val="0"/>
          <w:color w:val="auto"/>
          <w:kern w:val="0"/>
          <w:sz w:val="32"/>
          <w:szCs w:val="32"/>
          <w:lang w:bidi="ar"/>
        </w:rPr>
        <w:t>审计</w:t>
      </w:r>
      <w:r>
        <w:rPr>
          <w:rFonts w:hint="eastAsia" w:ascii="仿宋_GB2312" w:hAnsi="仿宋_GB2312" w:eastAsia="仿宋_GB2312" w:cs="仿宋_GB2312"/>
          <w:b w:val="0"/>
          <w:bCs w:val="0"/>
          <w:color w:val="auto"/>
          <w:kern w:val="0"/>
          <w:sz w:val="32"/>
          <w:szCs w:val="32"/>
          <w:lang w:eastAsia="zh-CN" w:bidi="ar"/>
        </w:rPr>
        <w:t>局</w:t>
      </w:r>
      <w:r>
        <w:rPr>
          <w:rFonts w:hint="eastAsia" w:ascii="仿宋_GB2312" w:hAnsi="仿宋_GB2312" w:eastAsia="仿宋_GB2312" w:cs="仿宋_GB2312"/>
          <w:b w:val="0"/>
          <w:bCs w:val="0"/>
          <w:color w:val="auto"/>
          <w:kern w:val="0"/>
          <w:sz w:val="32"/>
          <w:szCs w:val="32"/>
          <w:lang w:bidi="ar"/>
        </w:rPr>
        <w:t>）</w:t>
      </w:r>
      <w:r>
        <w:rPr>
          <w:rFonts w:hint="eastAsia" w:ascii="仿宋_GB2312" w:hAnsi="仿宋_GB2312" w:eastAsia="仿宋_GB2312" w:cs="仿宋_GB2312"/>
          <w:b w:val="0"/>
          <w:bCs w:val="0"/>
          <w:color w:val="auto"/>
          <w:kern w:val="0"/>
          <w:sz w:val="32"/>
          <w:szCs w:val="32"/>
          <w:lang w:eastAsia="zh-CN" w:bidi="ar"/>
        </w:rPr>
        <w:t>。</w:t>
      </w:r>
      <w:r>
        <w:rPr>
          <w:rFonts w:hint="eastAsia" w:ascii="仿宋_GB2312" w:hAnsi="仿宋_GB2312" w:eastAsia="仿宋_GB2312" w:cs="仿宋_GB2312"/>
          <w:b w:val="0"/>
          <w:bCs w:val="0"/>
          <w:color w:val="FF0000"/>
          <w:sz w:val="32"/>
          <w:szCs w:val="32"/>
          <w:lang w:val="en-US" w:eastAsia="zh-CN"/>
        </w:rPr>
        <w:t xml:space="preserve"> </w:t>
      </w:r>
    </w:p>
    <w:p>
      <w:pPr>
        <w:pStyle w:val="11"/>
        <w:spacing w:line="540" w:lineRule="exact"/>
        <w:ind w:firstLine="640" w:firstLineChars="200"/>
        <w:jc w:val="both"/>
        <w:rPr>
          <w:rFonts w:ascii="仿宋_GB2312" w:hAnsi="仿宋_GB2312" w:eastAsia="仿宋_GB2312" w:cs="仿宋_GB2312"/>
          <w:sz w:val="32"/>
          <w:szCs w:val="32"/>
        </w:rPr>
      </w:pPr>
      <w:bookmarkStart w:id="8" w:name="bookmark8"/>
      <w:r>
        <w:rPr>
          <w:rFonts w:hint="eastAsia" w:ascii="黑体" w:hAnsi="黑体" w:eastAsia="黑体" w:cs="黑体"/>
          <w:sz w:val="32"/>
          <w:szCs w:val="32"/>
          <w:lang w:val="en-US" w:bidi="en-US"/>
        </w:rPr>
        <w:t>二</w:t>
      </w:r>
      <w:bookmarkEnd w:id="8"/>
      <w:r>
        <w:rPr>
          <w:rFonts w:hint="eastAsia" w:ascii="黑体" w:hAnsi="黑体" w:eastAsia="黑体" w:cs="黑体"/>
          <w:sz w:val="32"/>
          <w:szCs w:val="32"/>
          <w:lang w:val="en-US" w:bidi="en-US"/>
        </w:rPr>
        <w:t>、食盐储备规模和资金</w:t>
      </w:r>
    </w:p>
    <w:p>
      <w:pPr>
        <w:widowControl/>
        <w:ind w:firstLine="640" w:firstLineChars="200"/>
        <w:jc w:val="left"/>
        <w:rPr>
          <w:rFonts w:hint="eastAsia" w:ascii="仿宋_GB2312" w:hAnsi="仿宋_GB2312" w:eastAsia="仿宋_GB2312" w:cs="仿宋_GB2312"/>
          <w:b w:val="0"/>
          <w:bCs w:val="0"/>
          <w:color w:val="FF0000"/>
          <w:sz w:val="28"/>
          <w:szCs w:val="28"/>
        </w:rPr>
      </w:pPr>
      <w:bookmarkStart w:id="9" w:name="bookmark9"/>
      <w:r>
        <w:rPr>
          <w:rFonts w:hint="eastAsia" w:ascii="仿宋_GB2312" w:hAnsi="仿宋_GB2312" w:eastAsia="仿宋_GB2312" w:cs="仿宋_GB2312"/>
          <w:sz w:val="32"/>
          <w:szCs w:val="32"/>
        </w:rPr>
        <w:t>（</w:t>
      </w:r>
      <w:bookmarkEnd w:id="9"/>
      <w:r>
        <w:rPr>
          <w:rFonts w:hint="eastAsia" w:ascii="仿宋_GB2312" w:hAnsi="仿宋_GB2312" w:eastAsia="仿宋_GB2312" w:cs="仿宋_GB2312"/>
          <w:sz w:val="32"/>
          <w:szCs w:val="32"/>
        </w:rPr>
        <w:t>一）市级政府食盐储备规模为</w:t>
      </w:r>
      <w:r>
        <w:rPr>
          <w:rFonts w:hint="eastAsia" w:ascii="仿宋_GB2312" w:hAnsi="仿宋_GB2312" w:eastAsia="仿宋_GB2312" w:cs="仿宋_GB2312"/>
          <w:sz w:val="32"/>
          <w:szCs w:val="32"/>
          <w:lang w:eastAsia="zh-CN"/>
        </w:rPr>
        <w:t>本市</w:t>
      </w:r>
      <w:r>
        <w:rPr>
          <w:rFonts w:hint="eastAsia" w:ascii="仿宋_GB2312" w:hAnsi="仿宋_GB2312" w:eastAsia="仿宋_GB2312" w:cs="仿宋_GB2312"/>
          <w:sz w:val="32"/>
          <w:szCs w:val="32"/>
        </w:rPr>
        <w:t>行政区划内正常情况下1个月食盐消费量，</w:t>
      </w:r>
      <w:r>
        <w:rPr>
          <w:rFonts w:hint="eastAsia" w:ascii="仿宋_GB2312" w:hAnsi="仿宋_GB2312" w:eastAsia="仿宋_GB2312" w:cs="仿宋_GB2312"/>
          <w:color w:val="000000" w:themeColor="text1"/>
          <w:sz w:val="32"/>
          <w:szCs w:val="32"/>
          <w14:textFill>
            <w14:solidFill>
              <w14:schemeClr w14:val="tx1"/>
            </w14:solidFill>
          </w14:textFill>
        </w:rPr>
        <w:t>企业的食盐储备执行国务院和省政府对企业食盐储备的要求, 最低总库存不得低于本企业正常情况下1个月的平均销售量。具体按照工信部、省经信厅有关规定执行。</w:t>
      </w:r>
    </w:p>
    <w:p>
      <w:pPr>
        <w:widowControl/>
        <w:ind w:firstLine="640"/>
        <w:jc w:val="left"/>
        <w:rPr>
          <w:rFonts w:hint="eastAsia" w:ascii="仿宋_GB2312" w:hAnsi="仿宋_GB2312" w:eastAsia="仿宋_GB2312" w:cs="仿宋_GB2312"/>
          <w:b w:val="0"/>
          <w:bCs w:val="0"/>
          <w:color w:val="FF0000"/>
          <w:sz w:val="28"/>
          <w:szCs w:val="28"/>
          <w:lang w:eastAsia="zh-CN"/>
        </w:rPr>
      </w:pPr>
      <w:bookmarkStart w:id="10" w:name="bookmark10"/>
      <w:r>
        <w:rPr>
          <w:rFonts w:hint="eastAsia" w:ascii="仿宋_GB2312" w:hAnsi="仿宋_GB2312" w:eastAsia="仿宋_GB2312" w:cs="仿宋_GB2312"/>
          <w:sz w:val="32"/>
          <w:szCs w:val="32"/>
        </w:rPr>
        <w:t>（</w:t>
      </w:r>
      <w:bookmarkEnd w:id="10"/>
      <w:r>
        <w:rPr>
          <w:rFonts w:hint="eastAsia" w:ascii="仿宋_GB2312" w:hAnsi="仿宋_GB2312" w:eastAsia="仿宋_GB2312" w:cs="仿宋_GB2312"/>
          <w:sz w:val="32"/>
          <w:szCs w:val="32"/>
        </w:rPr>
        <w:t>二）食盐储备资金由承担政府食盐储备的企业向金融机构贷款或其他合法</w:t>
      </w:r>
      <w:r>
        <w:rPr>
          <w:rFonts w:hint="eastAsia" w:ascii="仿宋_GB2312" w:hAnsi="仿宋_GB2312" w:eastAsia="仿宋_GB2312" w:cs="仿宋_GB2312"/>
          <w:spacing w:val="-6"/>
          <w:sz w:val="32"/>
          <w:szCs w:val="32"/>
        </w:rPr>
        <w:t>渠道筹措解决。市级财政负责市级储备盐贷款贴息、对储存管理费用等费用给予补贴。补贴资金列入市级财政预算。各县食盐储备补贴参照市级政府食盐储备补贴方式实施。</w:t>
      </w:r>
    </w:p>
    <w:p>
      <w:pPr>
        <w:widowControl/>
        <w:shd w:val="clear" w:color="auto" w:fill="FFFFFF"/>
        <w:spacing w:line="552" w:lineRule="atLeast"/>
        <w:ind w:firstLine="640"/>
        <w:rPr>
          <w:rFonts w:hint="eastAsia" w:ascii="仿宋_GB2312" w:hAnsi="仿宋_GB2312" w:eastAsia="仿宋_GB2312" w:cs="仿宋_GB2312"/>
          <w:b w:val="0"/>
          <w:bCs/>
          <w:color w:val="FF0000"/>
          <w:kern w:val="0"/>
          <w:sz w:val="28"/>
          <w:szCs w:val="28"/>
          <w:lang w:eastAsia="zh-CN"/>
        </w:rPr>
      </w:pPr>
      <w:bookmarkStart w:id="11" w:name="bookmark11"/>
      <w:r>
        <w:rPr>
          <w:rFonts w:hint="eastAsia" w:ascii="仿宋_GB2312" w:hAnsi="仿宋_GB2312" w:eastAsia="仿宋_GB2312" w:cs="仿宋_GB2312"/>
          <w:sz w:val="32"/>
          <w:szCs w:val="32"/>
        </w:rPr>
        <w:t>（</w:t>
      </w:r>
      <w:bookmarkEnd w:id="11"/>
      <w:r>
        <w:rPr>
          <w:rFonts w:hint="eastAsia" w:ascii="仿宋_GB2312" w:hAnsi="仿宋_GB2312" w:eastAsia="仿宋_GB2312" w:cs="仿宋_GB2312"/>
          <w:sz w:val="32"/>
          <w:szCs w:val="32"/>
        </w:rPr>
        <w:t>三）市级政府食盐储备补贴，由市财政局根据市经济和信息化局编制的当年储备计划和上年储备清算结果核定预算，采取年初预拨、年终清算结合的方式。</w:t>
      </w:r>
      <w:r>
        <w:rPr>
          <w:rFonts w:hint="eastAsia" w:ascii="仿宋_GB2312" w:hAnsi="仿宋_GB2312" w:eastAsia="仿宋_GB2312" w:cs="仿宋_GB2312"/>
          <w:b w:val="0"/>
          <w:bCs/>
          <w:sz w:val="32"/>
          <w:szCs w:val="32"/>
        </w:rPr>
        <w:t>每年储备计划下达后，由承担政府食盐储备的企业提出承储和资金拨付书面申请，经市经济和信息化局审核后委托中介机构对承担政府食盐储备的企业进行实地核查并出具核查报告，拟出资金分配方案，并对拟支持的企业名单、储备数量、资金分配方案在市政府网站公示不少于7个工作日，公示无异议后，市经济和信息化局会同市财政局将资金分配方案报市政府审批。分配方案经市政府批准后，市财政局根据储备资金利息、储存管理费用等据实拨付</w:t>
      </w:r>
      <w:r>
        <w:rPr>
          <w:rFonts w:hint="eastAsia" w:ascii="宋体" w:hAnsi="宋体" w:eastAsia="宋体" w:cs="宋体"/>
          <w:b w:val="0"/>
          <w:bCs/>
          <w:sz w:val="32"/>
          <w:szCs w:val="32"/>
        </w:rPr>
        <w:t>。</w:t>
      </w:r>
      <w:bookmarkStart w:id="12" w:name="bookmark12"/>
    </w:p>
    <w:p>
      <w:pPr>
        <w:widowControl/>
        <w:shd w:val="clear" w:color="auto" w:fill="FFFFFF"/>
        <w:spacing w:line="552" w:lineRule="atLeast"/>
        <w:ind w:firstLine="640" w:firstLineChars="200"/>
        <w:rPr>
          <w:rFonts w:ascii="黑体" w:hAnsi="黑体" w:eastAsia="黑体" w:cs="黑体"/>
          <w:sz w:val="32"/>
          <w:szCs w:val="32"/>
          <w:lang w:val="en-US" w:bidi="en-US"/>
        </w:rPr>
      </w:pPr>
      <w:r>
        <w:rPr>
          <w:rFonts w:hint="eastAsia" w:ascii="黑体" w:hAnsi="黑体" w:eastAsia="黑体" w:cs="黑体"/>
          <w:sz w:val="32"/>
          <w:szCs w:val="32"/>
          <w:lang w:val="en-US" w:bidi="en-US"/>
        </w:rPr>
        <w:t>三</w:t>
      </w:r>
      <w:bookmarkEnd w:id="12"/>
      <w:r>
        <w:rPr>
          <w:rFonts w:hint="eastAsia" w:ascii="黑体" w:hAnsi="黑体" w:eastAsia="黑体" w:cs="黑体"/>
          <w:sz w:val="32"/>
          <w:szCs w:val="32"/>
          <w:lang w:val="en-US" w:bidi="en-US"/>
        </w:rPr>
        <w:t>、储备食盐的储存</w:t>
      </w:r>
    </w:p>
    <w:p>
      <w:pPr>
        <w:ind w:firstLine="640" w:firstLineChars="200"/>
        <w:jc w:val="left"/>
        <w:rPr>
          <w:rFonts w:hint="eastAsia" w:ascii="仿宋_GB2312" w:hAnsi="仿宋_GB2312" w:eastAsia="仿宋_GB2312" w:cs="仿宋_GB2312"/>
          <w:b w:val="0"/>
          <w:bCs w:val="0"/>
          <w:color w:val="FF0000"/>
          <w:sz w:val="28"/>
          <w:szCs w:val="28"/>
          <w:lang w:eastAsia="zh-CN"/>
        </w:rPr>
      </w:pPr>
      <w:r>
        <w:rPr>
          <w:rFonts w:hint="eastAsia" w:ascii="仿宋_GB2312" w:hAnsi="仿宋_GB2312" w:eastAsia="仿宋_GB2312" w:cs="仿宋_GB2312"/>
          <w:sz w:val="32"/>
          <w:szCs w:val="32"/>
        </w:rPr>
        <w:t>（—）市级政府食盐储备由具备达到国家规定3A级标准的宿州市盐业公司或合法进入宿州市场的其他3A级食盐定点批发企业承担。由市经济和信息化局负责与其签订承储协议。</w:t>
      </w:r>
      <w:r>
        <w:rPr>
          <w:rFonts w:hint="eastAsia" w:ascii="仿宋_GB2312" w:hAnsi="仿宋_GB2312" w:eastAsia="仿宋_GB2312" w:cs="仿宋_GB2312"/>
          <w:color w:val="000000" w:themeColor="text1"/>
          <w:sz w:val="32"/>
          <w:szCs w:val="32"/>
          <w14:textFill>
            <w14:solidFill>
              <w14:schemeClr w14:val="tx1"/>
            </w14:solidFill>
          </w14:textFill>
        </w:rPr>
        <w:t>承担政府食盐储备的企业应当按照要求认真做好食盐储备工作，建立健全储备运行机制，确保储备食盐安全、完整和及时有效供应。</w:t>
      </w:r>
    </w:p>
    <w:p>
      <w:pPr>
        <w:pStyle w:val="5"/>
        <w:numPr>
          <w:ilvl w:val="0"/>
          <w:numId w:val="0"/>
        </w:numPr>
        <w:spacing w:before="0" w:beforeAutospacing="0" w:after="300" w:afterAutospacing="0" w:line="378" w:lineRule="atLeast"/>
        <w:ind w:right="300" w:rightChars="0" w:firstLine="640" w:firstLineChars="200"/>
        <w:rPr>
          <w:rFonts w:hint="eastAsia" w:ascii="仿宋_GB2312" w:hAnsi="仿宋_GB2312" w:eastAsia="仿宋_GB2312" w:cs="仿宋_GB2312"/>
          <w:b w:val="0"/>
          <w:bCs w:val="0"/>
          <w:color w:val="FF0000"/>
          <w:sz w:val="28"/>
          <w:szCs w:val="28"/>
          <w:shd w:val="clear" w:color="auto" w:fill="FFFFFF"/>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市级政府食盐储备地的布局，按照覆盖全市、相对集中、有利调运的原则，由承担政府食盐储备的企业选定，报市经济和信息化局审核同意后实施。</w:t>
      </w:r>
      <w:bookmarkStart w:id="13" w:name="bookmark14"/>
    </w:p>
    <w:p>
      <w:pPr>
        <w:pStyle w:val="5"/>
        <w:spacing w:before="0" w:beforeAutospacing="0" w:after="300" w:afterAutospacing="0" w:line="378" w:lineRule="atLeast"/>
        <w:ind w:right="30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bookmarkEnd w:id="13"/>
      <w:r>
        <w:rPr>
          <w:rFonts w:hint="eastAsia" w:ascii="仿宋_GB2312" w:hAnsi="仿宋_GB2312" w:eastAsia="仿宋_GB2312" w:cs="仿宋_GB2312"/>
          <w:sz w:val="32"/>
          <w:szCs w:val="32"/>
        </w:rPr>
        <w:t>三）入库的储备食盐质量应符合食品安全标准，其中加碘盐须符合安徽省食用盐碘浓度规定。</w:t>
      </w:r>
      <w:bookmarkStart w:id="14" w:name="bookmark15"/>
    </w:p>
    <w:p>
      <w:pPr>
        <w:pStyle w:val="5"/>
        <w:spacing w:before="0" w:beforeAutospacing="0" w:after="300" w:afterAutospacing="0" w:line="378" w:lineRule="atLeast"/>
        <w:ind w:right="30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w:t>
      </w:r>
      <w:bookmarkEnd w:id="14"/>
      <w:r>
        <w:rPr>
          <w:rFonts w:hint="eastAsia" w:ascii="仿宋_GB2312" w:hAnsi="仿宋_GB2312" w:eastAsia="仿宋_GB2312" w:cs="仿宋_GB2312"/>
          <w:sz w:val="32"/>
          <w:szCs w:val="32"/>
        </w:rPr>
        <w:t>四）食盐储备采取滚动储备方式，及时轮换，确保储备食盐在保质期内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轮换期间储备数量不得少于当年的储备计划。</w:t>
      </w:r>
    </w:p>
    <w:p>
      <w:pPr>
        <w:pStyle w:val="5"/>
        <w:spacing w:before="0" w:beforeAutospacing="0" w:after="300" w:afterAutospacing="0" w:line="378" w:lineRule="atLeast"/>
        <w:ind w:right="300" w:firstLine="640" w:firstLineChars="200"/>
        <w:rPr>
          <w:rFonts w:hint="eastAsia" w:ascii="仿宋_GB2312" w:hAnsi="仿宋_GB2312" w:eastAsia="仿宋_GB2312" w:cs="仿宋_GB2312"/>
          <w:b w:val="0"/>
          <w:bCs w:val="0"/>
          <w:color w:val="FF0000"/>
          <w:sz w:val="28"/>
          <w:szCs w:val="28"/>
        </w:rPr>
      </w:pPr>
      <w:bookmarkStart w:id="15" w:name="bookmark16"/>
      <w:r>
        <w:rPr>
          <w:rFonts w:hint="eastAsia" w:ascii="仿宋_GB2312" w:hAnsi="仿宋_GB2312" w:eastAsia="仿宋_GB2312" w:cs="仿宋_GB2312"/>
          <w:sz w:val="32"/>
          <w:szCs w:val="32"/>
        </w:rPr>
        <w:t>（</w:t>
      </w:r>
      <w:bookmarkEnd w:id="15"/>
      <w:r>
        <w:rPr>
          <w:rFonts w:hint="eastAsia" w:ascii="仿宋_GB2312" w:hAnsi="仿宋_GB2312" w:eastAsia="仿宋_GB2312" w:cs="仿宋_GB2312"/>
          <w:sz w:val="32"/>
          <w:szCs w:val="32"/>
        </w:rPr>
        <w:t>五）市级政府食盐储备应当实行专仓储存、专人管理、专账记载，按品种、数量、质量、进出库时间单独建立账卡档案，建立健全并严格执行入库、出库制度。</w:t>
      </w:r>
    </w:p>
    <w:p>
      <w:pPr>
        <w:pStyle w:val="11"/>
        <w:keepNext w:val="0"/>
        <w:keepLines w:val="0"/>
        <w:pageBreakBefore w:val="0"/>
        <w:kinsoku/>
        <w:wordWrap/>
        <w:overflowPunct/>
        <w:topLinePunct w:val="0"/>
        <w:autoSpaceDE/>
        <w:autoSpaceDN/>
        <w:bidi w:val="0"/>
        <w:adjustRightInd/>
        <w:snapToGrid/>
        <w:spacing w:line="600" w:lineRule="exact"/>
        <w:ind w:left="0" w:leftChars="0" w:firstLine="640" w:firstLineChars="200"/>
        <w:jc w:val="both"/>
        <w:textAlignment w:val="auto"/>
        <w:rPr>
          <w:rFonts w:ascii="黑体" w:hAnsi="黑体" w:eastAsia="黑体" w:cs="黑体"/>
          <w:sz w:val="32"/>
          <w:szCs w:val="32"/>
          <w:lang w:val="en-US" w:bidi="en-US"/>
        </w:rPr>
      </w:pPr>
      <w:r>
        <w:rPr>
          <w:rFonts w:hint="eastAsia" w:ascii="黑体" w:hAnsi="黑体" w:eastAsia="黑体" w:cs="黑体"/>
          <w:sz w:val="32"/>
          <w:szCs w:val="32"/>
          <w:lang w:val="en-US" w:bidi="en-US"/>
        </w:rPr>
        <w:t>四、储备食盐的调用</w:t>
      </w:r>
    </w:p>
    <w:p>
      <w:pPr>
        <w:pStyle w:val="11"/>
        <w:keepNext w:val="0"/>
        <w:keepLines w:val="0"/>
        <w:pageBreakBefore w:val="0"/>
        <w:tabs>
          <w:tab w:val="left" w:pos="1042"/>
        </w:tabs>
        <w:kinsoku/>
        <w:wordWrap/>
        <w:overflowPunct/>
        <w:topLinePunct w:val="0"/>
        <w:autoSpaceDE/>
        <w:autoSpaceDN/>
        <w:bidi w:val="0"/>
        <w:adjustRightInd/>
        <w:snapToGrid/>
        <w:spacing w:line="600" w:lineRule="exact"/>
        <w:ind w:left="0" w:leftChars="0" w:firstLine="320" w:firstLineChars="100"/>
        <w:textAlignment w:val="auto"/>
        <w:rPr>
          <w:rFonts w:ascii="仿宋_GB2312" w:hAnsi="仿宋_GB2312" w:eastAsia="仿宋_GB2312" w:cs="仿宋_GB2312"/>
          <w:sz w:val="32"/>
          <w:szCs w:val="32"/>
        </w:rPr>
      </w:pPr>
      <w:bookmarkStart w:id="16" w:name="bookmark18"/>
      <w:r>
        <w:rPr>
          <w:rFonts w:hint="eastAsia" w:ascii="仿宋_GB2312" w:hAnsi="仿宋_GB2312" w:eastAsia="仿宋_GB2312" w:cs="仿宋_GB2312"/>
          <w:sz w:val="32"/>
          <w:szCs w:val="32"/>
        </w:rPr>
        <w:t>（</w:t>
      </w:r>
      <w:bookmarkEnd w:id="16"/>
      <w:r>
        <w:rPr>
          <w:rFonts w:hint="eastAsia" w:ascii="仿宋_GB2312" w:hAnsi="仿宋_GB2312" w:eastAsia="仿宋_GB2312" w:cs="仿宋_GB2312"/>
          <w:sz w:val="32"/>
          <w:szCs w:val="32"/>
        </w:rPr>
        <w:t>一）出现下列情况，可以调用市级政府食盐储备：</w:t>
      </w:r>
    </w:p>
    <w:p>
      <w:pPr>
        <w:pStyle w:val="11"/>
        <w:keepNext w:val="0"/>
        <w:keepLines w:val="0"/>
        <w:pageBreakBefore w:val="0"/>
        <w:tabs>
          <w:tab w:val="left" w:pos="703"/>
        </w:tabs>
        <w:kinsoku/>
        <w:wordWrap/>
        <w:overflowPunct/>
        <w:topLinePunct w:val="0"/>
        <w:autoSpaceDE/>
        <w:autoSpaceDN/>
        <w:bidi w:val="0"/>
        <w:adjustRightInd/>
        <w:snapToGrid/>
        <w:spacing w:line="600" w:lineRule="exact"/>
        <w:ind w:left="0" w:leftChars="0" w:firstLine="640" w:firstLineChars="200"/>
        <w:textAlignment w:val="auto"/>
        <w:rPr>
          <w:rFonts w:ascii="仿宋_GB2312" w:hAnsi="仿宋_GB2312" w:eastAsia="仿宋_GB2312" w:cs="仿宋_GB2312"/>
          <w:sz w:val="32"/>
          <w:szCs w:val="32"/>
        </w:rPr>
      </w:pPr>
      <w:bookmarkStart w:id="17" w:name="bookmark19"/>
      <w:bookmarkEnd w:id="17"/>
      <w:r>
        <w:rPr>
          <w:rFonts w:hint="eastAsia" w:ascii="仿宋_GB2312" w:hAnsi="仿宋_GB2312" w:eastAsia="仿宋_GB2312" w:cs="仿宋_GB2312"/>
          <w:sz w:val="32"/>
          <w:szCs w:val="32"/>
          <w:lang w:val="en-US"/>
        </w:rPr>
        <w:t>1、</w:t>
      </w:r>
      <w:r>
        <w:rPr>
          <w:rFonts w:hint="eastAsia" w:ascii="仿宋_GB2312" w:hAnsi="仿宋_GB2312" w:eastAsia="仿宋_GB2312" w:cs="仿宋_GB2312"/>
          <w:sz w:val="32"/>
          <w:szCs w:val="32"/>
        </w:rPr>
        <w:t>发生重大自然灾害或者突发公共事件；</w:t>
      </w:r>
    </w:p>
    <w:p>
      <w:pPr>
        <w:pStyle w:val="11"/>
        <w:keepNext w:val="0"/>
        <w:keepLines w:val="0"/>
        <w:pageBreakBefore w:val="0"/>
        <w:tabs>
          <w:tab w:val="left" w:pos="722"/>
        </w:tabs>
        <w:kinsoku/>
        <w:wordWrap/>
        <w:overflowPunct/>
        <w:topLinePunct w:val="0"/>
        <w:autoSpaceDE/>
        <w:autoSpaceDN/>
        <w:bidi w:val="0"/>
        <w:adjustRightInd/>
        <w:snapToGrid/>
        <w:spacing w:line="600" w:lineRule="exact"/>
        <w:ind w:left="0" w:leftChars="0" w:firstLine="640" w:firstLineChars="200"/>
        <w:textAlignment w:val="auto"/>
        <w:rPr>
          <w:rFonts w:ascii="仿宋_GB2312" w:hAnsi="仿宋_GB2312" w:eastAsia="仿宋_GB2312" w:cs="仿宋_GB2312"/>
          <w:sz w:val="32"/>
          <w:szCs w:val="32"/>
        </w:rPr>
      </w:pPr>
      <w:bookmarkStart w:id="18" w:name="bookmark20"/>
      <w:bookmarkEnd w:id="18"/>
      <w:r>
        <w:rPr>
          <w:rFonts w:hint="eastAsia" w:ascii="仿宋_GB2312" w:hAnsi="仿宋_GB2312" w:eastAsia="仿宋_GB2312" w:cs="仿宋_GB2312"/>
          <w:sz w:val="32"/>
          <w:szCs w:val="32"/>
          <w:lang w:val="en-US"/>
        </w:rPr>
        <w:t>2、</w:t>
      </w:r>
      <w:r>
        <w:rPr>
          <w:rFonts w:hint="eastAsia" w:ascii="仿宋_GB2312" w:hAnsi="仿宋_GB2312" w:eastAsia="仿宋_GB2312" w:cs="仿宋_GB2312"/>
          <w:spacing w:val="-6"/>
          <w:sz w:val="32"/>
          <w:szCs w:val="32"/>
        </w:rPr>
        <w:t>全市或部分县区食盐明显供不应求或者价格出现异常波动；</w:t>
      </w:r>
    </w:p>
    <w:p>
      <w:pPr>
        <w:pStyle w:val="5"/>
        <w:keepNext w:val="0"/>
        <w:keepLines w:val="0"/>
        <w:pageBreakBefore w:val="0"/>
        <w:kinsoku/>
        <w:wordWrap/>
        <w:overflowPunct/>
        <w:topLinePunct w:val="0"/>
        <w:autoSpaceDE/>
        <w:autoSpaceDN/>
        <w:bidi w:val="0"/>
        <w:adjustRightInd/>
        <w:snapToGrid/>
        <w:spacing w:before="0" w:beforeAutospacing="0" w:after="300" w:afterAutospacing="0" w:line="600" w:lineRule="exact"/>
        <w:ind w:right="300" w:firstLine="640" w:firstLineChars="200"/>
        <w:textAlignment w:val="auto"/>
        <w:rPr>
          <w:rFonts w:hint="eastAsia" w:ascii="仿宋_GB2312" w:hAnsi="仿宋_GB2312" w:eastAsia="仿宋_GB2312" w:cs="仿宋_GB2312"/>
          <w:b w:val="0"/>
          <w:bCs/>
          <w:color w:val="FF0000"/>
          <w:sz w:val="28"/>
          <w:szCs w:val="28"/>
          <w:lang w:eastAsia="zh-CN"/>
        </w:rPr>
      </w:pPr>
      <w:bookmarkStart w:id="19" w:name="bookmark21"/>
      <w:bookmarkEnd w:id="19"/>
      <w:r>
        <w:rPr>
          <w:rFonts w:hint="eastAsia" w:ascii="仿宋_GB2312" w:hAnsi="仿宋_GB2312" w:eastAsia="仿宋_GB2312" w:cs="仿宋_GB2312"/>
          <w:sz w:val="32"/>
          <w:szCs w:val="32"/>
          <w:lang w:val="en-US"/>
        </w:rPr>
        <w:t>3、</w:t>
      </w:r>
      <w:r>
        <w:rPr>
          <w:rFonts w:hint="eastAsia" w:ascii="仿宋_GB2312" w:hAnsi="仿宋_GB2312" w:eastAsia="仿宋_GB2312" w:cs="仿宋_GB2312"/>
          <w:sz w:val="32"/>
          <w:szCs w:val="32"/>
        </w:rPr>
        <w:t>市政府认为需要调用储备食盐的其他情形。市级政府食盐储备调用由市经济和信息化局提出方案，报市政府同意后, 由承担政府食盐储备的企业具体执行。需要调用企业储备食盐的，相关企业应按政府指令组织储备食盐的投放。</w:t>
      </w:r>
      <w:bookmarkStart w:id="20" w:name="bookmark22"/>
    </w:p>
    <w:p>
      <w:pPr>
        <w:pStyle w:val="5"/>
        <w:spacing w:before="0" w:beforeAutospacing="0" w:after="300" w:afterAutospacing="0" w:line="378" w:lineRule="atLeast"/>
        <w:ind w:right="300" w:firstLine="320" w:firstLineChars="100"/>
        <w:rPr>
          <w:rFonts w:hint="eastAsia" w:ascii="仿宋_GB2312" w:hAnsi="仿宋_GB2312" w:eastAsia="仿宋_GB2312" w:cs="仿宋_GB2312"/>
          <w:b w:val="0"/>
          <w:bCs/>
          <w:color w:val="FF0000"/>
          <w:sz w:val="32"/>
          <w:szCs w:val="32"/>
          <w:lang w:eastAsia="zh-CN"/>
        </w:rPr>
      </w:pPr>
      <w:r>
        <w:rPr>
          <w:rFonts w:hint="eastAsia" w:ascii="仿宋_GB2312" w:hAnsi="仿宋_GB2312" w:eastAsia="仿宋_GB2312" w:cs="仿宋_GB2312"/>
          <w:sz w:val="32"/>
          <w:szCs w:val="32"/>
        </w:rPr>
        <w:t>（</w:t>
      </w:r>
      <w:bookmarkEnd w:id="20"/>
      <w:r>
        <w:rPr>
          <w:rFonts w:hint="eastAsia" w:ascii="仿宋_GB2312" w:hAnsi="仿宋_GB2312" w:eastAsia="仿宋_GB2312" w:cs="仿宋_GB2312"/>
          <w:sz w:val="32"/>
          <w:szCs w:val="32"/>
        </w:rPr>
        <w:t>二）有关部门和各县对食盐储备调用方案的实施，应当给予支持、配合。</w:t>
      </w:r>
      <w:bookmarkStart w:id="21" w:name="bookmark23"/>
    </w:p>
    <w:p>
      <w:pPr>
        <w:pStyle w:val="5"/>
        <w:spacing w:before="0" w:beforeAutospacing="0" w:after="300" w:afterAutospacing="0" w:line="378" w:lineRule="atLeast"/>
        <w:ind w:right="300" w:firstLine="320" w:firstLineChars="100"/>
        <w:rPr>
          <w:rFonts w:hint="eastAsia" w:ascii="仿宋_GB2312" w:hAnsi="仿宋_GB2312" w:eastAsia="仿宋_GB2312" w:cs="仿宋_GB2312"/>
          <w:b w:val="0"/>
          <w:bCs/>
          <w:color w:val="FF0000"/>
          <w:sz w:val="28"/>
          <w:szCs w:val="28"/>
          <w:lang w:eastAsia="zh-CN"/>
        </w:rPr>
      </w:pPr>
      <w:r>
        <w:rPr>
          <w:rFonts w:hint="eastAsia" w:ascii="仿宋_GB2312" w:hAnsi="仿宋_GB2312" w:eastAsia="仿宋_GB2312" w:cs="仿宋_GB2312"/>
          <w:sz w:val="32"/>
          <w:szCs w:val="32"/>
        </w:rPr>
        <w:t>（</w:t>
      </w:r>
      <w:bookmarkEnd w:id="21"/>
      <w:r>
        <w:rPr>
          <w:rFonts w:hint="eastAsia" w:ascii="仿宋_GB2312" w:hAnsi="仿宋_GB2312" w:eastAsia="仿宋_GB2312" w:cs="仿宋_GB2312"/>
          <w:sz w:val="32"/>
          <w:szCs w:val="32"/>
        </w:rPr>
        <w:t>三）市级政府储备食盐调用后，承担政府食盐储备的企业应当于一个月内补齐储备，并将调用和补库情况报市经济和信息化局备案；企业食盐储备调用后，应及时补库，确保达到规定的库存量。</w:t>
      </w:r>
      <w:bookmarkStart w:id="22" w:name="bookmark24"/>
    </w:p>
    <w:p>
      <w:pPr>
        <w:pStyle w:val="5"/>
        <w:spacing w:before="0" w:beforeAutospacing="0" w:after="300" w:afterAutospacing="0" w:line="378" w:lineRule="atLeast"/>
        <w:ind w:left="300" w:right="300" w:firstLine="320" w:firstLineChars="100"/>
        <w:rPr>
          <w:rFonts w:hint="eastAsia" w:ascii="黑体" w:hAnsi="黑体" w:eastAsia="黑体" w:cs="黑体"/>
          <w:sz w:val="32"/>
          <w:szCs w:val="32"/>
          <w:lang w:val="en-US" w:bidi="en-US"/>
        </w:rPr>
      </w:pPr>
      <w:r>
        <w:rPr>
          <w:rFonts w:hint="eastAsia" w:ascii="黑体" w:hAnsi="黑体" w:eastAsia="黑体" w:cs="黑体"/>
          <w:sz w:val="32"/>
          <w:szCs w:val="32"/>
          <w:lang w:val="en-US" w:bidi="en-US"/>
        </w:rPr>
        <w:t>五</w:t>
      </w:r>
      <w:bookmarkEnd w:id="22"/>
      <w:r>
        <w:rPr>
          <w:rFonts w:hint="eastAsia" w:ascii="黑体" w:hAnsi="黑体" w:eastAsia="黑体" w:cs="黑体"/>
          <w:sz w:val="32"/>
          <w:szCs w:val="32"/>
          <w:lang w:val="en-US" w:bidi="en-US"/>
        </w:rPr>
        <w:t>、监督检查</w:t>
      </w:r>
      <w:bookmarkStart w:id="23" w:name="bookmark25"/>
    </w:p>
    <w:p>
      <w:pPr>
        <w:ind w:firstLine="640" w:firstLineChars="200"/>
        <w:jc w:val="left"/>
        <w:rPr>
          <w:rFonts w:hint="eastAsia" w:ascii="仿宋_GB2312" w:hAnsi="仿宋_GB2312" w:eastAsia="仿宋_GB2312" w:cs="仿宋_GB2312"/>
          <w:b w:val="0"/>
          <w:bCs w:val="0"/>
          <w:color w:val="FF0000"/>
          <w:sz w:val="28"/>
          <w:szCs w:val="28"/>
        </w:rPr>
      </w:pPr>
      <w:r>
        <w:rPr>
          <w:rFonts w:hint="eastAsia" w:ascii="仿宋_GB2312" w:hAnsi="仿宋_GB2312" w:eastAsia="仿宋_GB2312" w:cs="仿宋_GB2312"/>
          <w:sz w:val="32"/>
          <w:szCs w:val="32"/>
        </w:rPr>
        <w:t>（</w:t>
      </w:r>
      <w:bookmarkEnd w:id="23"/>
      <w:r>
        <w:rPr>
          <w:rFonts w:hint="eastAsia" w:ascii="仿宋_GB2312" w:hAnsi="仿宋_GB2312" w:eastAsia="仿宋_GB2312" w:cs="仿宋_GB2312"/>
          <w:sz w:val="32"/>
          <w:szCs w:val="32"/>
        </w:rPr>
        <w:t>一）市经济和信息化局负责对市级政府食盐储备和企业食盐储备的数量及储存安全等实施监督管理；市市场监管局负责对市级政府储备食盐和企业储备食盐的质量安全等实施管理和监督执法；市财政局负责对市级政府食盐储备补贴资金的监督管理；市审计局负责对政府食盐储备补贴资金预算执行情况和食盐储备资金使用的真实、合法、效益情况依法进行审计监督。</w:t>
      </w:r>
    </w:p>
    <w:p>
      <w:pPr>
        <w:pStyle w:val="5"/>
        <w:spacing w:before="0" w:beforeAutospacing="0" w:after="300" w:afterAutospacing="0" w:line="378" w:lineRule="atLeast"/>
        <w:ind w:right="300" w:firstLine="640" w:firstLineChars="200"/>
        <w:rPr>
          <w:rFonts w:hint="eastAsia" w:ascii="仿宋_GB2312" w:hAnsi="仿宋_GB2312" w:eastAsia="仿宋_GB2312" w:cs="仿宋_GB2312"/>
          <w:b w:val="0"/>
          <w:bCs/>
          <w:color w:val="FF0000"/>
          <w:sz w:val="28"/>
          <w:szCs w:val="28"/>
        </w:rPr>
      </w:pPr>
      <w:bookmarkStart w:id="24" w:name="bookmark26"/>
      <w:r>
        <w:rPr>
          <w:rFonts w:hint="eastAsia" w:ascii="仿宋_GB2312" w:hAnsi="仿宋_GB2312" w:eastAsia="仿宋_GB2312" w:cs="仿宋_GB2312"/>
          <w:sz w:val="32"/>
          <w:szCs w:val="32"/>
        </w:rPr>
        <w:t>（</w:t>
      </w:r>
      <w:bookmarkEnd w:id="24"/>
      <w:r>
        <w:rPr>
          <w:rFonts w:hint="eastAsia" w:ascii="仿宋_GB2312" w:hAnsi="仿宋_GB2312" w:eastAsia="仿宋_GB2312" w:cs="仿宋_GB2312"/>
          <w:sz w:val="32"/>
          <w:szCs w:val="32"/>
        </w:rPr>
        <w:t>二）承担政府食盐储备的企业对有关部门的监督检查，应予以积极配合，不得拒绝、阻挠。</w:t>
      </w:r>
    </w:p>
    <w:p>
      <w:pPr>
        <w:pStyle w:val="5"/>
        <w:shd w:val="clear" w:color="auto" w:fill="FFFFFF"/>
        <w:ind w:firstLine="640" w:firstLineChars="200"/>
        <w:rPr>
          <w:rFonts w:hint="eastAsia" w:ascii="仿宋_GB2312" w:hAnsi="仿宋_GB2312" w:eastAsia="仿宋_GB2312" w:cs="仿宋_GB2312"/>
          <w:b w:val="0"/>
          <w:bCs w:val="0"/>
          <w:color w:val="FF0000"/>
          <w:sz w:val="28"/>
          <w:szCs w:val="28"/>
          <w:lang w:eastAsia="zh-CN"/>
        </w:rPr>
      </w:pPr>
      <w:bookmarkStart w:id="25" w:name="bookmark27"/>
      <w:r>
        <w:rPr>
          <w:rFonts w:hint="eastAsia" w:ascii="仿宋_GB2312" w:hAnsi="仿宋_GB2312" w:eastAsia="仿宋_GB2312" w:cs="仿宋_GB2312"/>
          <w:sz w:val="32"/>
          <w:szCs w:val="32"/>
        </w:rPr>
        <w:t>（</w:t>
      </w:r>
      <w:bookmarkEnd w:id="25"/>
      <w:r>
        <w:rPr>
          <w:rFonts w:hint="eastAsia" w:ascii="仿宋_GB2312" w:hAnsi="仿宋_GB2312" w:eastAsia="仿宋_GB2312" w:cs="仿宋_GB2312"/>
          <w:sz w:val="32"/>
          <w:szCs w:val="32"/>
        </w:rPr>
        <w:t>三）国家机关工作人员违反本办法规定的，按有关规定予以行政处分；构成犯罪的，依法追究刑事责任。</w:t>
      </w:r>
    </w:p>
    <w:p>
      <w:pPr>
        <w:ind w:firstLine="640" w:firstLineChars="200"/>
        <w:jc w:val="left"/>
        <w:rPr>
          <w:rFonts w:hint="eastAsia" w:ascii="仿宋_GB2312" w:hAnsi="仿宋_GB2312" w:eastAsia="仿宋_GB2312" w:cs="仿宋_GB2312"/>
          <w:sz w:val="32"/>
          <w:szCs w:val="32"/>
        </w:rPr>
      </w:pPr>
      <w:bookmarkStart w:id="26" w:name="bookmark28"/>
      <w:r>
        <w:rPr>
          <w:rFonts w:hint="eastAsia" w:ascii="仿宋_GB2312" w:hAnsi="仿宋_GB2312" w:eastAsia="仿宋_GB2312" w:cs="仿宋_GB2312"/>
          <w:sz w:val="32"/>
          <w:szCs w:val="32"/>
        </w:rPr>
        <w:t>（</w:t>
      </w:r>
      <w:bookmarkEnd w:id="26"/>
      <w:r>
        <w:rPr>
          <w:rFonts w:hint="eastAsia" w:ascii="仿宋_GB2312" w:hAnsi="仿宋_GB2312" w:eastAsia="仿宋_GB2312" w:cs="仿宋_GB2312"/>
          <w:sz w:val="32"/>
          <w:szCs w:val="32"/>
        </w:rPr>
        <w:t>四）承担政府食盐储备的企业违反本办法规定和承储协议的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按照《财政违法行为处罚处分条例》（国务院令第427号）进行查处；涉嫌犯罪的，依法移交相关部门追究刑事责任。</w:t>
      </w:r>
    </w:p>
    <w:p>
      <w:pPr>
        <w:ind w:firstLine="640" w:firstLineChars="20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各县食盐储备</w:t>
      </w:r>
      <w:r>
        <w:rPr>
          <w:rFonts w:hint="eastAsia" w:ascii="仿宋_GB2312" w:hAnsi="仿宋_GB2312" w:eastAsia="仿宋_GB2312" w:cs="仿宋_GB2312"/>
          <w:sz w:val="32"/>
          <w:szCs w:val="32"/>
          <w:lang w:eastAsia="zh-CN"/>
        </w:rPr>
        <w:t>参照本办法执行。</w:t>
      </w:r>
    </w:p>
    <w:p>
      <w:pPr>
        <w:pStyle w:val="11"/>
        <w:spacing w:line="540" w:lineRule="exact"/>
        <w:ind w:left="0" w:leftChars="0"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本办法自</w:t>
      </w:r>
      <w:r>
        <w:rPr>
          <w:rFonts w:hint="eastAsia" w:ascii="仿宋_GB2312" w:hAnsi="仿宋_GB2312" w:eastAsia="仿宋_GB2312" w:cs="仿宋_GB2312"/>
          <w:sz w:val="32"/>
          <w:szCs w:val="32"/>
          <w:lang w:eastAsia="zh-CN"/>
        </w:rPr>
        <w:t>发布之日</w:t>
      </w:r>
      <w:r>
        <w:rPr>
          <w:rFonts w:hint="eastAsia" w:ascii="仿宋_GB2312" w:hAnsi="仿宋_GB2312" w:eastAsia="仿宋_GB2312" w:cs="仿宋_GB2312"/>
          <w:sz w:val="32"/>
          <w:szCs w:val="32"/>
        </w:rPr>
        <w:t>起</w:t>
      </w:r>
      <w:r>
        <w:rPr>
          <w:rFonts w:hint="eastAsia" w:ascii="仿宋_GB2312" w:hAnsi="仿宋_GB2312" w:eastAsia="仿宋_GB2312" w:cs="仿宋_GB2312"/>
          <w:sz w:val="32"/>
          <w:szCs w:val="32"/>
          <w:lang w:eastAsia="zh-CN"/>
        </w:rPr>
        <w:t>施行</w:t>
      </w:r>
      <w:r>
        <w:rPr>
          <w:rFonts w:hint="eastAsia" w:ascii="仿宋_GB2312" w:hAnsi="仿宋_GB2312" w:eastAsia="仿宋_GB2312" w:cs="仿宋_GB2312"/>
          <w:sz w:val="32"/>
          <w:szCs w:val="32"/>
        </w:rPr>
        <w:t>，由市经济和信息化局负责牵头组织实施。</w:t>
      </w:r>
    </w:p>
    <w:sectPr>
      <w:footerReference r:id="rId3" w:type="default"/>
      <w:pgSz w:w="11906" w:h="16838"/>
      <w:pgMar w:top="1701" w:right="1531" w:bottom="1440" w:left="1531" w:header="851" w:footer="1247"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eastAsia="宋体"/>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asciiTheme="minorEastAsia" w:hAnsiTheme="minorEastAsia" w:eastAsiaTheme="minorEastAsia" w:cstheme="minorEastAsia"/>
                              <w:sz w:val="28"/>
                              <w:szCs w:val="28"/>
                              <w:lang w:eastAsia="zh-CN"/>
                            </w:rPr>
                            <w:t>- 3 -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Ps5vjrgEAAEsD&#10;AAAOAAAAAAAAAAEAIAAAAB4BAABkcnMvZTJvRG9jLnhtbFBLBQYAAAAABgAGAFkBAAA+BQAAAAA=&#10;">
              <v:fill on="f" focussize="0,0"/>
              <v:stroke on="f"/>
              <v:imagedata o:title=""/>
              <o:lock v:ext="edit" aspectratio="f"/>
              <v:textbox inset="0mm,0mm,0mm,0mm" style="mso-fit-shape-to-text:t;">
                <w:txbxContent>
                  <w:p>
                    <w:pPr>
                      <w:pStyle w:val="3"/>
                      <w:rPr>
                        <w:rFonts w:eastAsia="宋体"/>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asciiTheme="minorEastAsia" w:hAnsiTheme="minorEastAsia" w:eastAsiaTheme="minorEastAsia" w:cstheme="minorEastAsia"/>
                        <w:sz w:val="28"/>
                        <w:szCs w:val="28"/>
                        <w:lang w:eastAsia="zh-CN"/>
                      </w:rPr>
                      <w:t>- 3 -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323CCF"/>
    <w:rsid w:val="000A0769"/>
    <w:rsid w:val="00270BDE"/>
    <w:rsid w:val="00703B6C"/>
    <w:rsid w:val="00874C11"/>
    <w:rsid w:val="008E1832"/>
    <w:rsid w:val="008F7FBC"/>
    <w:rsid w:val="00B15180"/>
    <w:rsid w:val="00BF08A9"/>
    <w:rsid w:val="03B7370D"/>
    <w:rsid w:val="0DBC3944"/>
    <w:rsid w:val="0FA76A5B"/>
    <w:rsid w:val="13522D5E"/>
    <w:rsid w:val="2624024D"/>
    <w:rsid w:val="29577C63"/>
    <w:rsid w:val="2E390935"/>
    <w:rsid w:val="32B102B1"/>
    <w:rsid w:val="3418459A"/>
    <w:rsid w:val="37D86134"/>
    <w:rsid w:val="386D1476"/>
    <w:rsid w:val="3B9E3D5F"/>
    <w:rsid w:val="3F323CCF"/>
    <w:rsid w:val="45516540"/>
    <w:rsid w:val="46ED02C3"/>
    <w:rsid w:val="495737A0"/>
    <w:rsid w:val="4B1949BB"/>
    <w:rsid w:val="4BFF4203"/>
    <w:rsid w:val="50A7790C"/>
    <w:rsid w:val="52D058A9"/>
    <w:rsid w:val="55BB332C"/>
    <w:rsid w:val="590E7A4F"/>
    <w:rsid w:val="5C2D60A2"/>
    <w:rsid w:val="5DCD3EA9"/>
    <w:rsid w:val="5F8142D7"/>
    <w:rsid w:val="732B22B8"/>
    <w:rsid w:val="76FA2343"/>
    <w:rsid w:val="77E43FF3"/>
    <w:rsid w:val="7B2E70E2"/>
    <w:rsid w:val="7B6A28BC"/>
    <w:rsid w:val="7CCD2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Times New Roman" w:cs="Times New Roman"/>
      <w:color w:val="000000"/>
      <w:sz w:val="24"/>
      <w:szCs w:val="24"/>
      <w:lang w:val="en-US" w:eastAsia="en-US" w:bidi="en-US"/>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3"/>
    <w:qFormat/>
    <w:uiPriority w:val="0"/>
    <w:pPr>
      <w:tabs>
        <w:tab w:val="center" w:pos="4153"/>
        <w:tab w:val="right" w:pos="8306"/>
      </w:tabs>
      <w:snapToGrid w:val="0"/>
    </w:pPr>
    <w:rPr>
      <w:sz w:val="18"/>
      <w:szCs w:val="18"/>
    </w:rPr>
  </w:style>
  <w:style w:type="paragraph" w:styleId="4">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qFormat/>
    <w:uiPriority w:val="22"/>
    <w:rPr>
      <w:b/>
      <w:bCs/>
    </w:rPr>
  </w:style>
  <w:style w:type="character" w:styleId="9">
    <w:name w:val="Hyperlink"/>
    <w:basedOn w:val="7"/>
    <w:qFormat/>
    <w:uiPriority w:val="0"/>
    <w:rPr>
      <w:color w:val="0000FF"/>
      <w:u w:val="single"/>
    </w:rPr>
  </w:style>
  <w:style w:type="paragraph" w:customStyle="1" w:styleId="10">
    <w:name w:val="Heading #1|1"/>
    <w:basedOn w:val="1"/>
    <w:qFormat/>
    <w:uiPriority w:val="0"/>
    <w:pPr>
      <w:spacing w:after="320"/>
      <w:jc w:val="center"/>
      <w:outlineLvl w:val="0"/>
    </w:pPr>
    <w:rPr>
      <w:rFonts w:ascii="宋体" w:hAnsi="宋体" w:eastAsia="宋体" w:cs="宋体"/>
      <w:sz w:val="26"/>
      <w:szCs w:val="26"/>
      <w:lang w:val="zh-CN" w:eastAsia="zh-CN" w:bidi="zh-CN"/>
    </w:rPr>
  </w:style>
  <w:style w:type="paragraph" w:customStyle="1" w:styleId="11">
    <w:name w:val="Body text|1"/>
    <w:basedOn w:val="1"/>
    <w:qFormat/>
    <w:uiPriority w:val="0"/>
    <w:pPr>
      <w:spacing w:line="461" w:lineRule="auto"/>
      <w:ind w:firstLine="400"/>
    </w:pPr>
    <w:rPr>
      <w:rFonts w:ascii="宋体" w:hAnsi="宋体" w:eastAsia="宋体" w:cs="宋体"/>
      <w:sz w:val="18"/>
      <w:szCs w:val="18"/>
      <w:lang w:val="zh-CN" w:eastAsia="zh-CN" w:bidi="zh-CN"/>
    </w:rPr>
  </w:style>
  <w:style w:type="character" w:customStyle="1" w:styleId="12">
    <w:name w:val="页眉 Char"/>
    <w:basedOn w:val="7"/>
    <w:link w:val="4"/>
    <w:qFormat/>
    <w:uiPriority w:val="0"/>
    <w:rPr>
      <w:rFonts w:eastAsia="Times New Roman"/>
      <w:color w:val="000000"/>
      <w:sz w:val="18"/>
      <w:szCs w:val="18"/>
      <w:lang w:eastAsia="en-US" w:bidi="en-US"/>
    </w:rPr>
  </w:style>
  <w:style w:type="character" w:customStyle="1" w:styleId="13">
    <w:name w:val="页脚 Char"/>
    <w:basedOn w:val="7"/>
    <w:link w:val="3"/>
    <w:qFormat/>
    <w:uiPriority w:val="0"/>
    <w:rPr>
      <w:rFonts w:eastAsia="Times New Roman"/>
      <w:color w:val="000000"/>
      <w:sz w:val="18"/>
      <w:szCs w:val="18"/>
      <w:lang w:eastAsia="en-US" w:bidi="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365</Words>
  <Characters>2083</Characters>
  <Lines>17</Lines>
  <Paragraphs>4</Paragraphs>
  <TotalTime>96</TotalTime>
  <ScaleCrop>false</ScaleCrop>
  <LinksUpToDate>false</LinksUpToDate>
  <CharactersWithSpaces>2444</CharactersWithSpaces>
  <Application>WPS Office_11.1.0.9209_F1E327BC-269C-435d-A152-05C5408002CA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2019-08-08T07:36:00Z</dcterms:created>
  <dc:creator>晚蔷</dc:creator>
  <cp:lastModifiedBy>Administrator</cp:lastModifiedBy>
  <cp:lastPrinted>2019-12-16T06:49:00Z</cp:lastPrinted>
  <dcterms:modified xsi:type="dcterms:W3CDTF">2019-12-17T00:57:07Z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