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9" w:line="353" w:lineRule="auto"/>
        <w:jc w:val="center"/>
        <w:rPr>
          <w:rFonts w:eastAsiaTheme="minorEastAsia"/>
        </w:rPr>
      </w:pPr>
      <w:r>
        <w:rPr>
          <w:color w:val="333333"/>
          <w:sz w:val="36"/>
        </w:rPr>
        <w:t>民盟宿州市总支部委员会部门</w:t>
      </w:r>
      <w:r>
        <w:rPr>
          <w:rFonts w:hint="eastAsia" w:eastAsia="宋体"/>
          <w:color w:val="333333"/>
          <w:sz w:val="36"/>
          <w:lang w:eastAsia="zh-CN"/>
        </w:rPr>
        <w:t>2021</w:t>
      </w:r>
      <w:r>
        <w:rPr>
          <w:color w:val="333333"/>
          <w:sz w:val="36"/>
        </w:rPr>
        <w:t>年度一般公共预算财政拨款“三公”经费支出决算情况说明</w:t>
      </w:r>
    </w:p>
    <w:p>
      <w:pPr>
        <w:spacing w:after="1509" w:line="353" w:lineRule="auto"/>
        <w:jc w:val="center"/>
        <w:rPr>
          <w:rFonts w:hint="eastAsia"/>
        </w:rPr>
      </w:pPr>
      <w:r>
        <w:rPr>
          <w:rFonts w:ascii="黑体" w:hAnsi="黑体" w:eastAsia="黑体" w:cs="黑体"/>
          <w:color w:val="333333"/>
          <w:sz w:val="32"/>
        </w:rPr>
        <w:t>一、</w:t>
      </w:r>
      <w:r>
        <w:rPr>
          <w:rFonts w:hint="eastAsia" w:ascii="黑体" w:hAnsi="黑体" w:eastAsia="黑体" w:cs="黑体"/>
          <w:color w:val="333333"/>
          <w:sz w:val="32"/>
          <w:lang w:eastAsia="zh-CN"/>
        </w:rPr>
        <w:t>2021</w:t>
      </w:r>
      <w:r>
        <w:rPr>
          <w:rFonts w:ascii="黑体" w:hAnsi="黑体" w:eastAsia="黑体" w:cs="黑体"/>
          <w:color w:val="333333"/>
          <w:sz w:val="32"/>
        </w:rPr>
        <w:t>年度一般公共预算财政拨款“三公”经费支出决算表</w:t>
      </w:r>
      <w:bookmarkStart w:id="0" w:name="_GoBack"/>
      <w:bookmarkEnd w:id="0"/>
    </w:p>
    <w:p>
      <w:pPr>
        <w:spacing w:after="293" w:line="240" w:lineRule="auto"/>
        <w:ind w:right="960"/>
        <w:jc w:val="right"/>
      </w:pPr>
      <w:r>
        <w:rPr>
          <w:rFonts w:ascii="仿宋" w:hAnsi="仿宋" w:eastAsia="仿宋" w:cs="仿宋"/>
          <w:color w:val="333333"/>
          <w:sz w:val="32"/>
        </w:rPr>
        <w:t>单位：万元</w:t>
      </w:r>
    </w:p>
    <w:tbl>
      <w:tblPr>
        <w:tblStyle w:val="4"/>
        <w:tblW w:w="8522" w:type="dxa"/>
        <w:tblInd w:w="-108" w:type="dxa"/>
        <w:tblLayout w:type="autofit"/>
        <w:tblCellMar>
          <w:top w:w="153" w:type="dxa"/>
          <w:left w:w="108" w:type="dxa"/>
          <w:bottom w:w="153" w:type="dxa"/>
          <w:right w:w="109" w:type="dxa"/>
        </w:tblCellMar>
      </w:tblPr>
      <w:tblGrid>
        <w:gridCol w:w="4299"/>
        <w:gridCol w:w="2082"/>
        <w:gridCol w:w="2141"/>
      </w:tblGrid>
      <w:tr>
        <w:tblPrEx>
          <w:tblCellMar>
            <w:top w:w="153" w:type="dxa"/>
            <w:left w:w="108" w:type="dxa"/>
            <w:bottom w:w="153" w:type="dxa"/>
            <w:right w:w="109" w:type="dxa"/>
          </w:tblCellMar>
        </w:tblPrEx>
        <w:trPr>
          <w:trHeight w:val="854" w:hRule="atLeast"/>
        </w:trPr>
        <w:tc>
          <w:tcPr>
            <w:tcW w:w="4299"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仿宋" w:hAnsi="仿宋" w:eastAsia="仿宋" w:cs="仿宋"/>
                <w:color w:val="333333"/>
                <w:sz w:val="32"/>
              </w:rPr>
              <w:t>项 目</w:t>
            </w:r>
          </w:p>
        </w:tc>
        <w:tc>
          <w:tcPr>
            <w:tcW w:w="2082" w:type="dxa"/>
            <w:tcBorders>
              <w:top w:val="single" w:color="000000" w:sz="8" w:space="0"/>
              <w:left w:val="single" w:color="000000" w:sz="8" w:space="0"/>
              <w:bottom w:val="single" w:color="000000" w:sz="8" w:space="0"/>
              <w:right w:val="single" w:color="000000" w:sz="8" w:space="0"/>
            </w:tcBorders>
            <w:vAlign w:val="center"/>
          </w:tcPr>
          <w:p>
            <w:pPr>
              <w:ind w:left="323"/>
            </w:pPr>
            <w:r>
              <w:rPr>
                <w:rFonts w:ascii="仿宋" w:hAnsi="仿宋" w:eastAsia="仿宋" w:cs="仿宋"/>
                <w:color w:val="333333"/>
                <w:sz w:val="32"/>
              </w:rPr>
              <w:t>预算 数</w:t>
            </w:r>
          </w:p>
        </w:tc>
        <w:tc>
          <w:tcPr>
            <w:tcW w:w="2141" w:type="dxa"/>
            <w:tcBorders>
              <w:top w:val="single" w:color="000000" w:sz="8" w:space="0"/>
              <w:left w:val="single" w:color="000000" w:sz="8" w:space="0"/>
              <w:bottom w:val="single" w:color="000000" w:sz="8" w:space="0"/>
              <w:right w:val="single" w:color="000000" w:sz="8" w:space="0"/>
            </w:tcBorders>
            <w:vAlign w:val="center"/>
          </w:tcPr>
          <w:p>
            <w:pPr>
              <w:ind w:left="351"/>
            </w:pPr>
            <w:r>
              <w:rPr>
                <w:rFonts w:ascii="仿宋" w:hAnsi="仿宋" w:eastAsia="仿宋" w:cs="仿宋"/>
                <w:color w:val="333333"/>
                <w:sz w:val="32"/>
              </w:rPr>
              <w:t>决算 数</w:t>
            </w:r>
          </w:p>
        </w:tc>
      </w:tr>
      <w:tr>
        <w:tblPrEx>
          <w:tblCellMar>
            <w:top w:w="153" w:type="dxa"/>
            <w:left w:w="108" w:type="dxa"/>
            <w:bottom w:w="153" w:type="dxa"/>
            <w:right w:w="109" w:type="dxa"/>
          </w:tblCellMar>
        </w:tblPrEx>
        <w:trPr>
          <w:trHeight w:val="854" w:hRule="atLeast"/>
        </w:trPr>
        <w:tc>
          <w:tcPr>
            <w:tcW w:w="4299"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仿宋" w:hAnsi="仿宋" w:eastAsia="仿宋" w:cs="仿宋"/>
                <w:color w:val="333333"/>
                <w:sz w:val="32"/>
              </w:rPr>
              <w:t>合 计</w:t>
            </w:r>
          </w:p>
        </w:tc>
        <w:tc>
          <w:tcPr>
            <w:tcW w:w="2082"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宋体" w:hAnsi="宋体" w:eastAsia="宋体" w:cs="宋体"/>
                <w:color w:val="333333"/>
                <w:sz w:val="32"/>
              </w:rPr>
              <w:t>0</w:t>
            </w:r>
          </w:p>
        </w:tc>
        <w:tc>
          <w:tcPr>
            <w:tcW w:w="2141"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宋体" w:hAnsi="宋体" w:eastAsia="宋体" w:cs="宋体"/>
                <w:color w:val="333333"/>
                <w:sz w:val="32"/>
              </w:rPr>
              <w:t>0</w:t>
            </w:r>
          </w:p>
        </w:tc>
      </w:tr>
      <w:tr>
        <w:tblPrEx>
          <w:tblCellMar>
            <w:top w:w="153" w:type="dxa"/>
            <w:left w:w="108" w:type="dxa"/>
            <w:bottom w:w="153" w:type="dxa"/>
            <w:right w:w="109" w:type="dxa"/>
          </w:tblCellMar>
        </w:tblPrEx>
        <w:trPr>
          <w:trHeight w:val="854" w:hRule="atLeast"/>
        </w:trPr>
        <w:tc>
          <w:tcPr>
            <w:tcW w:w="4299" w:type="dxa"/>
            <w:tcBorders>
              <w:top w:val="single" w:color="000000" w:sz="8" w:space="0"/>
              <w:left w:val="single" w:color="000000" w:sz="8" w:space="0"/>
              <w:bottom w:val="single" w:color="000000" w:sz="8" w:space="0"/>
              <w:right w:val="single" w:color="000000" w:sz="8" w:space="0"/>
            </w:tcBorders>
            <w:vAlign w:val="center"/>
          </w:tcPr>
          <w:p>
            <w:r>
              <w:rPr>
                <w:rFonts w:ascii="仿宋" w:hAnsi="仿宋" w:eastAsia="仿宋" w:cs="仿宋"/>
                <w:color w:val="333333"/>
                <w:sz w:val="32"/>
              </w:rPr>
              <w:t>因公出国（境）费</w:t>
            </w:r>
          </w:p>
        </w:tc>
        <w:tc>
          <w:tcPr>
            <w:tcW w:w="2082"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宋体" w:hAnsi="宋体" w:eastAsia="宋体" w:cs="宋体"/>
                <w:color w:val="333333"/>
                <w:sz w:val="32"/>
              </w:rPr>
              <w:t>0</w:t>
            </w:r>
          </w:p>
        </w:tc>
        <w:tc>
          <w:tcPr>
            <w:tcW w:w="2141"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宋体" w:hAnsi="宋体" w:eastAsia="宋体" w:cs="宋体"/>
                <w:color w:val="333333"/>
                <w:sz w:val="32"/>
              </w:rPr>
              <w:t>0</w:t>
            </w:r>
          </w:p>
        </w:tc>
      </w:tr>
      <w:tr>
        <w:tblPrEx>
          <w:tblCellMar>
            <w:top w:w="153" w:type="dxa"/>
            <w:left w:w="108" w:type="dxa"/>
            <w:bottom w:w="153" w:type="dxa"/>
            <w:right w:w="109" w:type="dxa"/>
          </w:tblCellMar>
        </w:tblPrEx>
        <w:trPr>
          <w:trHeight w:val="854" w:hRule="atLeast"/>
        </w:trPr>
        <w:tc>
          <w:tcPr>
            <w:tcW w:w="4299" w:type="dxa"/>
            <w:tcBorders>
              <w:top w:val="single" w:color="000000" w:sz="8" w:space="0"/>
              <w:left w:val="single" w:color="000000" w:sz="8" w:space="0"/>
              <w:bottom w:val="single" w:color="000000" w:sz="8" w:space="0"/>
              <w:right w:val="single" w:color="000000" w:sz="8" w:space="0"/>
            </w:tcBorders>
            <w:vAlign w:val="center"/>
          </w:tcPr>
          <w:p>
            <w:r>
              <w:rPr>
                <w:rFonts w:ascii="仿宋" w:hAnsi="仿宋" w:eastAsia="仿宋" w:cs="仿宋"/>
                <w:color w:val="333333"/>
                <w:sz w:val="32"/>
              </w:rPr>
              <w:t>公务接待费</w:t>
            </w:r>
          </w:p>
        </w:tc>
        <w:tc>
          <w:tcPr>
            <w:tcW w:w="2082"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宋体" w:hAnsi="宋体" w:eastAsia="宋体" w:cs="宋体"/>
                <w:color w:val="333333"/>
                <w:sz w:val="32"/>
              </w:rPr>
              <w:t>0</w:t>
            </w:r>
          </w:p>
        </w:tc>
        <w:tc>
          <w:tcPr>
            <w:tcW w:w="2141"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宋体" w:hAnsi="宋体" w:eastAsia="宋体" w:cs="宋体"/>
                <w:color w:val="333333"/>
                <w:sz w:val="32"/>
              </w:rPr>
              <w:t>0</w:t>
            </w:r>
          </w:p>
        </w:tc>
      </w:tr>
      <w:tr>
        <w:tblPrEx>
          <w:tblCellMar>
            <w:top w:w="153" w:type="dxa"/>
            <w:left w:w="108" w:type="dxa"/>
            <w:bottom w:w="153" w:type="dxa"/>
            <w:right w:w="109" w:type="dxa"/>
          </w:tblCellMar>
        </w:tblPrEx>
        <w:trPr>
          <w:trHeight w:val="854" w:hRule="atLeast"/>
        </w:trPr>
        <w:tc>
          <w:tcPr>
            <w:tcW w:w="4299" w:type="dxa"/>
            <w:tcBorders>
              <w:top w:val="single" w:color="000000" w:sz="8" w:space="0"/>
              <w:left w:val="single" w:color="000000" w:sz="8" w:space="0"/>
              <w:bottom w:val="single" w:color="000000" w:sz="8" w:space="0"/>
              <w:right w:val="single" w:color="000000" w:sz="8" w:space="0"/>
            </w:tcBorders>
            <w:vAlign w:val="center"/>
          </w:tcPr>
          <w:p>
            <w:r>
              <w:rPr>
                <w:rFonts w:ascii="仿宋" w:hAnsi="仿宋" w:eastAsia="仿宋" w:cs="仿宋"/>
                <w:color w:val="333333"/>
                <w:sz w:val="32"/>
              </w:rPr>
              <w:t>公务用车购置及运行维护费</w:t>
            </w:r>
          </w:p>
        </w:tc>
        <w:tc>
          <w:tcPr>
            <w:tcW w:w="2082"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宋体" w:hAnsi="宋体" w:eastAsia="宋体" w:cs="宋体"/>
                <w:color w:val="333333"/>
                <w:sz w:val="32"/>
              </w:rPr>
              <w:t>0</w:t>
            </w:r>
          </w:p>
        </w:tc>
        <w:tc>
          <w:tcPr>
            <w:tcW w:w="2141" w:type="dxa"/>
            <w:tcBorders>
              <w:top w:val="single" w:color="000000" w:sz="8" w:space="0"/>
              <w:left w:val="single" w:color="000000" w:sz="8" w:space="0"/>
              <w:bottom w:val="single" w:color="000000" w:sz="8" w:space="0"/>
              <w:right w:val="single" w:color="000000" w:sz="8" w:space="0"/>
            </w:tcBorders>
            <w:vAlign w:val="center"/>
          </w:tcPr>
          <w:p>
            <w:pPr>
              <w:jc w:val="center"/>
            </w:pPr>
            <w:r>
              <w:rPr>
                <w:rFonts w:ascii="宋体" w:hAnsi="宋体" w:eastAsia="宋体" w:cs="宋体"/>
                <w:color w:val="333333"/>
                <w:sz w:val="32"/>
              </w:rPr>
              <w:t>0</w:t>
            </w:r>
          </w:p>
        </w:tc>
      </w:tr>
      <w:tr>
        <w:tblPrEx>
          <w:tblCellMar>
            <w:top w:w="153" w:type="dxa"/>
            <w:left w:w="108" w:type="dxa"/>
            <w:bottom w:w="153" w:type="dxa"/>
            <w:right w:w="109" w:type="dxa"/>
          </w:tblCellMar>
        </w:tblPrEx>
        <w:trPr>
          <w:trHeight w:val="742" w:hRule="atLeast"/>
        </w:trPr>
        <w:tc>
          <w:tcPr>
            <w:tcW w:w="4299" w:type="dxa"/>
            <w:tcBorders>
              <w:top w:val="single" w:color="000000" w:sz="8" w:space="0"/>
              <w:left w:val="single" w:color="000000" w:sz="8" w:space="0"/>
              <w:bottom w:val="nil"/>
              <w:right w:val="single" w:color="000000" w:sz="8" w:space="0"/>
            </w:tcBorders>
            <w:vAlign w:val="bottom"/>
          </w:tcPr>
          <w:p>
            <w:pPr>
              <w:jc w:val="right"/>
            </w:pPr>
            <w:r>
              <w:rPr>
                <w:rFonts w:ascii="仿宋" w:hAnsi="仿宋" w:eastAsia="仿宋" w:cs="仿宋"/>
                <w:color w:val="333333"/>
                <w:sz w:val="32"/>
              </w:rPr>
              <w:t>其中：公务用车运行维护</w:t>
            </w:r>
          </w:p>
        </w:tc>
        <w:tc>
          <w:tcPr>
            <w:tcW w:w="2082" w:type="dxa"/>
            <w:tcBorders>
              <w:top w:val="single" w:color="000000" w:sz="8" w:space="0"/>
              <w:left w:val="single" w:color="000000" w:sz="8" w:space="0"/>
              <w:bottom w:val="nil"/>
              <w:right w:val="single" w:color="000000" w:sz="8" w:space="0"/>
            </w:tcBorders>
          </w:tcPr>
          <w:p/>
        </w:tc>
        <w:tc>
          <w:tcPr>
            <w:tcW w:w="2141" w:type="dxa"/>
            <w:tcBorders>
              <w:top w:val="single" w:color="000000" w:sz="8" w:space="0"/>
              <w:left w:val="single" w:color="000000" w:sz="8" w:space="0"/>
              <w:bottom w:val="nil"/>
              <w:right w:val="single" w:color="000000" w:sz="8" w:space="0"/>
            </w:tcBorders>
          </w:tcPr>
          <w:p/>
        </w:tc>
      </w:tr>
      <w:tr>
        <w:tblPrEx>
          <w:tblCellMar>
            <w:top w:w="153" w:type="dxa"/>
            <w:left w:w="108" w:type="dxa"/>
            <w:bottom w:w="153" w:type="dxa"/>
            <w:right w:w="109" w:type="dxa"/>
          </w:tblCellMar>
        </w:tblPrEx>
        <w:trPr>
          <w:trHeight w:val="736" w:hRule="atLeast"/>
        </w:trPr>
        <w:tc>
          <w:tcPr>
            <w:tcW w:w="4299" w:type="dxa"/>
            <w:tcBorders>
              <w:top w:val="nil"/>
              <w:left w:val="single" w:color="000000" w:sz="8" w:space="0"/>
              <w:bottom w:val="single" w:color="000000" w:sz="8" w:space="0"/>
              <w:right w:val="single" w:color="000000" w:sz="8" w:space="0"/>
            </w:tcBorders>
          </w:tcPr>
          <w:p>
            <w:r>
              <w:rPr>
                <w:rFonts w:ascii="仿宋" w:hAnsi="仿宋" w:eastAsia="仿宋" w:cs="仿宋"/>
                <w:color w:val="333333"/>
                <w:sz w:val="32"/>
              </w:rPr>
              <w:t>费</w:t>
            </w:r>
          </w:p>
        </w:tc>
        <w:tc>
          <w:tcPr>
            <w:tcW w:w="2082" w:type="dxa"/>
            <w:tcBorders>
              <w:top w:val="nil"/>
              <w:left w:val="single" w:color="000000" w:sz="8" w:space="0"/>
              <w:bottom w:val="single" w:color="000000" w:sz="8" w:space="0"/>
              <w:right w:val="single" w:color="000000" w:sz="8" w:space="0"/>
            </w:tcBorders>
          </w:tcPr>
          <w:p>
            <w:pPr>
              <w:jc w:val="center"/>
            </w:pPr>
            <w:r>
              <w:rPr>
                <w:rFonts w:ascii="宋体" w:hAnsi="宋体" w:eastAsia="宋体" w:cs="宋体"/>
                <w:color w:val="333333"/>
                <w:sz w:val="32"/>
              </w:rPr>
              <w:t>0</w:t>
            </w:r>
          </w:p>
        </w:tc>
        <w:tc>
          <w:tcPr>
            <w:tcW w:w="2141" w:type="dxa"/>
            <w:tcBorders>
              <w:top w:val="nil"/>
              <w:left w:val="single" w:color="000000" w:sz="8" w:space="0"/>
              <w:bottom w:val="single" w:color="000000" w:sz="8" w:space="0"/>
              <w:right w:val="single" w:color="000000" w:sz="8" w:space="0"/>
            </w:tcBorders>
          </w:tcPr>
          <w:p>
            <w:pPr>
              <w:jc w:val="center"/>
            </w:pPr>
            <w:r>
              <w:rPr>
                <w:rFonts w:ascii="宋体" w:hAnsi="宋体" w:eastAsia="宋体" w:cs="宋体"/>
                <w:color w:val="333333"/>
                <w:sz w:val="32"/>
              </w:rPr>
              <w:t>0</w:t>
            </w:r>
          </w:p>
        </w:tc>
      </w:tr>
      <w:tr>
        <w:tblPrEx>
          <w:tblCellMar>
            <w:top w:w="153" w:type="dxa"/>
            <w:left w:w="108" w:type="dxa"/>
            <w:bottom w:w="153" w:type="dxa"/>
            <w:right w:w="109" w:type="dxa"/>
          </w:tblCellMar>
        </w:tblPrEx>
        <w:trPr>
          <w:trHeight w:val="740" w:hRule="atLeast"/>
        </w:trPr>
        <w:tc>
          <w:tcPr>
            <w:tcW w:w="4299" w:type="dxa"/>
            <w:tcBorders>
              <w:top w:val="single" w:color="000000" w:sz="8" w:space="0"/>
              <w:left w:val="single" w:color="000000" w:sz="8" w:space="0"/>
              <w:bottom w:val="nil"/>
              <w:right w:val="single" w:color="000000" w:sz="8" w:space="0"/>
            </w:tcBorders>
            <w:vAlign w:val="bottom"/>
          </w:tcPr>
          <w:p>
            <w:pPr>
              <w:ind w:right="242"/>
              <w:jc w:val="right"/>
            </w:pPr>
            <w:r>
              <w:rPr>
                <w:rFonts w:ascii="仿宋" w:hAnsi="仿宋" w:eastAsia="仿宋" w:cs="仿宋"/>
                <w:color w:val="333333"/>
                <w:sz w:val="32"/>
              </w:rPr>
              <w:t>公务用车</w:t>
            </w:r>
          </w:p>
        </w:tc>
        <w:tc>
          <w:tcPr>
            <w:tcW w:w="2082" w:type="dxa"/>
            <w:tcBorders>
              <w:top w:val="single" w:color="000000" w:sz="8" w:space="0"/>
              <w:left w:val="single" w:color="000000" w:sz="8" w:space="0"/>
              <w:bottom w:val="nil"/>
              <w:right w:val="single" w:color="000000" w:sz="8" w:space="0"/>
            </w:tcBorders>
          </w:tcPr>
          <w:p/>
        </w:tc>
        <w:tc>
          <w:tcPr>
            <w:tcW w:w="2141" w:type="dxa"/>
            <w:tcBorders>
              <w:top w:val="single" w:color="000000" w:sz="8" w:space="0"/>
              <w:left w:val="single" w:color="000000" w:sz="8" w:space="0"/>
              <w:bottom w:val="nil"/>
              <w:right w:val="single" w:color="000000" w:sz="8" w:space="0"/>
            </w:tcBorders>
          </w:tcPr>
          <w:p/>
        </w:tc>
      </w:tr>
      <w:tr>
        <w:tblPrEx>
          <w:tblCellMar>
            <w:top w:w="153" w:type="dxa"/>
            <w:left w:w="108" w:type="dxa"/>
            <w:bottom w:w="153" w:type="dxa"/>
            <w:right w:w="109" w:type="dxa"/>
          </w:tblCellMar>
        </w:tblPrEx>
        <w:trPr>
          <w:trHeight w:val="738" w:hRule="atLeast"/>
        </w:trPr>
        <w:tc>
          <w:tcPr>
            <w:tcW w:w="4299" w:type="dxa"/>
            <w:tcBorders>
              <w:top w:val="nil"/>
              <w:left w:val="single" w:color="000000" w:sz="8" w:space="0"/>
              <w:bottom w:val="single" w:color="000000" w:sz="8" w:space="0"/>
              <w:right w:val="single" w:color="000000" w:sz="8" w:space="0"/>
            </w:tcBorders>
          </w:tcPr>
          <w:p>
            <w:r>
              <w:rPr>
                <w:rFonts w:ascii="仿宋" w:hAnsi="仿宋" w:eastAsia="仿宋" w:cs="仿宋"/>
                <w:color w:val="333333"/>
                <w:sz w:val="32"/>
              </w:rPr>
              <w:t>购置费</w:t>
            </w:r>
          </w:p>
        </w:tc>
        <w:tc>
          <w:tcPr>
            <w:tcW w:w="2082" w:type="dxa"/>
            <w:tcBorders>
              <w:top w:val="nil"/>
              <w:left w:val="single" w:color="000000" w:sz="8" w:space="0"/>
              <w:bottom w:val="single" w:color="000000" w:sz="8" w:space="0"/>
              <w:right w:val="single" w:color="000000" w:sz="8" w:space="0"/>
            </w:tcBorders>
          </w:tcPr>
          <w:p>
            <w:pPr>
              <w:jc w:val="center"/>
            </w:pPr>
            <w:r>
              <w:rPr>
                <w:rFonts w:ascii="宋体" w:hAnsi="宋体" w:eastAsia="宋体" w:cs="宋体"/>
                <w:color w:val="333333"/>
                <w:sz w:val="32"/>
              </w:rPr>
              <w:t>0</w:t>
            </w:r>
          </w:p>
        </w:tc>
        <w:tc>
          <w:tcPr>
            <w:tcW w:w="2141" w:type="dxa"/>
            <w:tcBorders>
              <w:top w:val="nil"/>
              <w:left w:val="single" w:color="000000" w:sz="8" w:space="0"/>
              <w:bottom w:val="single" w:color="000000" w:sz="8" w:space="0"/>
              <w:right w:val="single" w:color="000000" w:sz="8" w:space="0"/>
            </w:tcBorders>
          </w:tcPr>
          <w:p>
            <w:pPr>
              <w:jc w:val="center"/>
            </w:pPr>
            <w:r>
              <w:rPr>
                <w:rFonts w:ascii="宋体" w:hAnsi="宋体" w:eastAsia="宋体" w:cs="宋体"/>
                <w:color w:val="333333"/>
                <w:sz w:val="32"/>
              </w:rPr>
              <w:t>0</w:t>
            </w:r>
          </w:p>
        </w:tc>
      </w:tr>
    </w:tbl>
    <w:p>
      <w:pPr>
        <w:spacing w:after="398" w:line="393" w:lineRule="auto"/>
        <w:ind w:left="-15" w:right="-15" w:firstLine="1279"/>
      </w:pPr>
      <w:r>
        <w:rPr>
          <w:rFonts w:ascii="黑体" w:hAnsi="黑体" w:eastAsia="黑体" w:cs="黑体"/>
          <w:color w:val="333333"/>
          <w:sz w:val="32"/>
        </w:rPr>
        <w:t>二、</w:t>
      </w:r>
      <w:r>
        <w:rPr>
          <w:rFonts w:hint="eastAsia" w:ascii="黑体" w:hAnsi="黑体" w:eastAsia="黑体" w:cs="黑体"/>
          <w:color w:val="333333"/>
          <w:sz w:val="32"/>
          <w:lang w:eastAsia="zh-CN"/>
        </w:rPr>
        <w:t>2021</w:t>
      </w:r>
      <w:r>
        <w:rPr>
          <w:rFonts w:ascii="黑体" w:hAnsi="黑体" w:eastAsia="黑体" w:cs="黑体"/>
          <w:color w:val="333333"/>
          <w:sz w:val="32"/>
        </w:rPr>
        <w:t>年度一般公共预算财政拨款“三公”经费支出情况说明</w:t>
      </w:r>
    </w:p>
    <w:p>
      <w:pPr>
        <w:spacing w:after="393" w:line="404" w:lineRule="auto"/>
        <w:ind w:left="-15" w:right="-15" w:firstLine="619"/>
        <w:rPr>
          <w:rFonts w:ascii="仿宋" w:hAnsi="仿宋" w:cs="仿宋" w:eastAsiaTheme="minorEastAsia"/>
          <w:color w:val="333333"/>
          <w:sz w:val="32"/>
        </w:rPr>
      </w:pPr>
      <w:r>
        <w:rPr>
          <w:rFonts w:ascii="楷体" w:hAnsi="楷体" w:eastAsia="楷体" w:cs="楷体"/>
          <w:color w:val="333333"/>
          <w:sz w:val="32"/>
        </w:rPr>
        <w:t>（一）一般公共预算财政拨款</w:t>
      </w:r>
      <w:r>
        <w:rPr>
          <w:rFonts w:ascii="Microsoft YaHei UI" w:hAnsi="Microsoft YaHei UI" w:eastAsia="Microsoft YaHei UI" w:cs="Microsoft YaHei UI"/>
          <w:b/>
          <w:color w:val="333333"/>
          <w:sz w:val="32"/>
        </w:rPr>
        <w:t>“</w:t>
      </w:r>
      <w:r>
        <w:rPr>
          <w:rFonts w:ascii="楷体" w:hAnsi="楷体" w:eastAsia="楷体" w:cs="楷体"/>
          <w:color w:val="333333"/>
          <w:sz w:val="32"/>
        </w:rPr>
        <w:t>三公</w:t>
      </w:r>
      <w:r>
        <w:rPr>
          <w:rFonts w:ascii="Microsoft YaHei UI" w:hAnsi="Microsoft YaHei UI" w:eastAsia="Microsoft YaHei UI" w:cs="Microsoft YaHei UI"/>
          <w:b/>
          <w:color w:val="333333"/>
          <w:sz w:val="32"/>
        </w:rPr>
        <w:t>”</w:t>
      </w:r>
      <w:r>
        <w:rPr>
          <w:rFonts w:ascii="楷体" w:hAnsi="楷体" w:eastAsia="楷体" w:cs="楷体"/>
          <w:color w:val="333333"/>
          <w:sz w:val="32"/>
        </w:rPr>
        <w:t>经费支出决算总体情况说明。</w:t>
      </w:r>
      <w:r>
        <w:rPr>
          <w:rFonts w:ascii="仿宋" w:hAnsi="仿宋" w:eastAsia="仿宋" w:cs="仿宋"/>
          <w:color w:val="333333"/>
          <w:sz w:val="32"/>
        </w:rPr>
        <w:t>民盟宿州市总支部委员会部门</w:t>
      </w:r>
      <w:r>
        <w:rPr>
          <w:rFonts w:hint="eastAsia" w:ascii="仿宋" w:hAnsi="仿宋" w:eastAsia="仿宋" w:cs="仿宋"/>
          <w:color w:val="333333"/>
          <w:sz w:val="32"/>
          <w:lang w:eastAsia="zh-CN"/>
        </w:rPr>
        <w:t>2021</w:t>
      </w:r>
      <w:r>
        <w:rPr>
          <w:rFonts w:ascii="仿宋" w:hAnsi="仿宋" w:eastAsia="仿宋" w:cs="仿宋"/>
          <w:color w:val="333333"/>
          <w:sz w:val="32"/>
        </w:rPr>
        <w:t>年度一般公共预算财政拨款</w:t>
      </w:r>
      <w:r>
        <w:rPr>
          <w:rFonts w:ascii="Microsoft YaHei UI" w:hAnsi="Microsoft YaHei UI" w:eastAsia="Microsoft YaHei UI" w:cs="Microsoft YaHei UI"/>
          <w:color w:val="333333"/>
          <w:sz w:val="32"/>
        </w:rPr>
        <w:t>“</w:t>
      </w:r>
      <w:r>
        <w:rPr>
          <w:rFonts w:ascii="仿宋" w:hAnsi="仿宋" w:eastAsia="仿宋" w:cs="仿宋"/>
          <w:color w:val="333333"/>
          <w:sz w:val="32"/>
        </w:rPr>
        <w:t>三公</w:t>
      </w:r>
      <w:r>
        <w:rPr>
          <w:rFonts w:ascii="Microsoft YaHei UI" w:hAnsi="Microsoft YaHei UI" w:eastAsia="Microsoft YaHei UI" w:cs="Microsoft YaHei UI"/>
          <w:color w:val="333333"/>
          <w:sz w:val="32"/>
        </w:rPr>
        <w:t>”</w:t>
      </w:r>
      <w:r>
        <w:rPr>
          <w:rFonts w:ascii="仿宋" w:hAnsi="仿宋" w:eastAsia="仿宋" w:cs="仿宋"/>
          <w:color w:val="333333"/>
          <w:sz w:val="32"/>
        </w:rPr>
        <w:t>经费支出预算为0万元，支出决算为0万元。</w:t>
      </w:r>
    </w:p>
    <w:p>
      <w:pPr>
        <w:spacing w:after="393" w:line="404" w:lineRule="auto"/>
        <w:ind w:left="-15" w:right="-15" w:firstLine="619"/>
      </w:pPr>
      <w:r>
        <w:rPr>
          <w:rFonts w:ascii="楷体" w:hAnsi="楷体" w:eastAsia="楷体" w:cs="楷体"/>
          <w:color w:val="333333"/>
          <w:sz w:val="32"/>
        </w:rPr>
        <w:t>（二）一般公共预算财政拨款</w:t>
      </w:r>
      <w:r>
        <w:rPr>
          <w:rFonts w:ascii="Microsoft YaHei UI" w:hAnsi="Microsoft YaHei UI" w:eastAsia="Microsoft YaHei UI" w:cs="Microsoft YaHei UI"/>
          <w:b/>
          <w:color w:val="333333"/>
          <w:sz w:val="32"/>
        </w:rPr>
        <w:t>“</w:t>
      </w:r>
      <w:r>
        <w:rPr>
          <w:rFonts w:ascii="楷体" w:hAnsi="楷体" w:eastAsia="楷体" w:cs="楷体"/>
          <w:color w:val="333333"/>
          <w:sz w:val="32"/>
        </w:rPr>
        <w:t>三公</w:t>
      </w:r>
      <w:r>
        <w:rPr>
          <w:rFonts w:ascii="Microsoft YaHei UI" w:hAnsi="Microsoft YaHei UI" w:eastAsia="Microsoft YaHei UI" w:cs="Microsoft YaHei UI"/>
          <w:b/>
          <w:color w:val="333333"/>
          <w:sz w:val="32"/>
        </w:rPr>
        <w:t>”</w:t>
      </w:r>
      <w:r>
        <w:rPr>
          <w:rFonts w:ascii="楷体" w:hAnsi="楷体" w:eastAsia="楷体" w:cs="楷体"/>
          <w:color w:val="333333"/>
          <w:sz w:val="32"/>
        </w:rPr>
        <w:t>经费支出决算具体情况说明。</w:t>
      </w:r>
      <w:r>
        <w:rPr>
          <w:rFonts w:ascii="仿宋" w:hAnsi="仿宋" w:eastAsia="仿宋" w:cs="仿宋"/>
          <w:color w:val="333333"/>
          <w:sz w:val="32"/>
        </w:rPr>
        <w:t>民盟宿州市总支部委员会部门</w:t>
      </w:r>
      <w:r>
        <w:rPr>
          <w:rFonts w:hint="eastAsia" w:ascii="仿宋" w:hAnsi="仿宋" w:eastAsia="仿宋" w:cs="仿宋"/>
          <w:color w:val="333333"/>
          <w:sz w:val="32"/>
          <w:lang w:eastAsia="zh-CN"/>
        </w:rPr>
        <w:t>2021</w:t>
      </w:r>
      <w:r>
        <w:rPr>
          <w:rFonts w:ascii="仿宋" w:hAnsi="仿宋" w:eastAsia="仿宋" w:cs="仿宋"/>
          <w:color w:val="333333"/>
          <w:sz w:val="32"/>
        </w:rPr>
        <w:t>年度一般公共预算财政拨款</w:t>
      </w:r>
      <w:r>
        <w:rPr>
          <w:rFonts w:ascii="Microsoft YaHei UI" w:hAnsi="Microsoft YaHei UI" w:eastAsia="Microsoft YaHei UI" w:cs="Microsoft YaHei UI"/>
          <w:color w:val="333333"/>
          <w:sz w:val="32"/>
        </w:rPr>
        <w:t>“</w:t>
      </w:r>
      <w:r>
        <w:rPr>
          <w:rFonts w:ascii="仿宋" w:hAnsi="仿宋" w:eastAsia="仿宋" w:cs="仿宋"/>
          <w:color w:val="333333"/>
          <w:sz w:val="32"/>
        </w:rPr>
        <w:t>三公</w:t>
      </w:r>
      <w:r>
        <w:rPr>
          <w:rFonts w:ascii="Microsoft YaHei UI" w:hAnsi="Microsoft YaHei UI" w:eastAsia="Microsoft YaHei UI" w:cs="Microsoft YaHei UI"/>
          <w:color w:val="333333"/>
          <w:sz w:val="32"/>
        </w:rPr>
        <w:t>”</w:t>
      </w:r>
      <w:r>
        <w:rPr>
          <w:rFonts w:ascii="仿宋" w:hAnsi="仿宋" w:eastAsia="仿宋" w:cs="仿宋"/>
          <w:color w:val="333333"/>
          <w:sz w:val="32"/>
        </w:rPr>
        <w:t>经费支出决算中，因公出国（境）费支出决算0万元;公务接待费支出决算0万元；公务用车购置及运行维护费支出决算0万元。具体情况如下：</w:t>
      </w:r>
    </w:p>
    <w:p>
      <w:pPr>
        <w:spacing w:after="393" w:line="404" w:lineRule="auto"/>
        <w:ind w:left="-15" w:right="-15" w:firstLine="619"/>
      </w:pPr>
      <w:r>
        <w:rPr>
          <w:rFonts w:ascii="仿宋" w:hAnsi="仿宋" w:eastAsia="仿宋" w:cs="仿宋"/>
          <w:color w:val="333333"/>
          <w:sz w:val="32"/>
        </w:rPr>
        <w:t>1.因公出国（境）费支出0万元，与</w:t>
      </w:r>
      <w:r>
        <w:rPr>
          <w:rFonts w:hint="eastAsia" w:ascii="仿宋" w:hAnsi="仿宋" w:eastAsia="仿宋" w:cs="仿宋"/>
          <w:color w:val="333333"/>
          <w:sz w:val="32"/>
          <w:lang w:eastAsia="zh-CN"/>
        </w:rPr>
        <w:t>2021</w:t>
      </w:r>
      <w:r>
        <w:rPr>
          <w:rFonts w:ascii="仿宋" w:hAnsi="仿宋" w:eastAsia="仿宋" w:cs="仿宋"/>
          <w:color w:val="333333"/>
          <w:sz w:val="32"/>
        </w:rPr>
        <w:t>年度预算相比，无变化。</w:t>
      </w:r>
      <w:r>
        <w:rPr>
          <w:rFonts w:hint="eastAsia" w:ascii="仿宋" w:hAnsi="仿宋" w:eastAsia="仿宋" w:cs="仿宋"/>
          <w:color w:val="333333"/>
          <w:sz w:val="32"/>
          <w:lang w:eastAsia="zh-CN"/>
        </w:rPr>
        <w:t>2021</w:t>
      </w:r>
      <w:r>
        <w:rPr>
          <w:rFonts w:ascii="仿宋" w:hAnsi="仿宋" w:eastAsia="仿宋" w:cs="仿宋"/>
          <w:color w:val="333333"/>
          <w:sz w:val="32"/>
        </w:rPr>
        <w:t>年宿州市</w:t>
      </w:r>
      <w:r>
        <w:rPr>
          <w:rFonts w:hint="eastAsia" w:ascii="仿宋" w:hAnsi="仿宋" w:cs="仿宋" w:eastAsiaTheme="minorEastAsia"/>
          <w:color w:val="333333"/>
          <w:sz w:val="32"/>
        </w:rPr>
        <w:t>民盟</w:t>
      </w:r>
      <w:r>
        <w:rPr>
          <w:rFonts w:ascii="仿宋" w:hAnsi="仿宋" w:eastAsia="仿宋" w:cs="仿宋"/>
          <w:color w:val="333333"/>
          <w:sz w:val="32"/>
        </w:rPr>
        <w:t>因公出国（境）团组0 次，累计出国（境）0人次。</w:t>
      </w:r>
    </w:p>
    <w:p>
      <w:pPr>
        <w:spacing w:after="391" w:line="398" w:lineRule="auto"/>
        <w:ind w:firstLine="629"/>
        <w:jc w:val="both"/>
      </w:pPr>
      <w:r>
        <w:rPr>
          <w:rFonts w:ascii="仿宋" w:hAnsi="仿宋" w:eastAsia="仿宋" w:cs="仿宋"/>
          <w:color w:val="333333"/>
          <w:sz w:val="32"/>
        </w:rPr>
        <w:t>2.公务接待费支出0万元, 与</w:t>
      </w:r>
      <w:r>
        <w:rPr>
          <w:rFonts w:hint="eastAsia" w:ascii="仿宋" w:hAnsi="仿宋" w:eastAsia="仿宋" w:cs="仿宋"/>
          <w:color w:val="333333"/>
          <w:sz w:val="32"/>
          <w:lang w:eastAsia="zh-CN"/>
        </w:rPr>
        <w:t>2021</w:t>
      </w:r>
      <w:r>
        <w:rPr>
          <w:rFonts w:ascii="仿宋" w:hAnsi="仿宋" w:eastAsia="仿宋" w:cs="仿宋"/>
          <w:color w:val="333333"/>
          <w:sz w:val="32"/>
        </w:rPr>
        <w:t>年度预算相比，无变化。</w:t>
      </w:r>
      <w:r>
        <w:rPr>
          <w:rFonts w:hint="eastAsia" w:ascii="仿宋" w:hAnsi="仿宋" w:eastAsia="仿宋" w:cs="仿宋"/>
          <w:color w:val="333333"/>
          <w:sz w:val="32"/>
          <w:lang w:eastAsia="zh-CN"/>
        </w:rPr>
        <w:t>2021</w:t>
      </w:r>
      <w:r>
        <w:rPr>
          <w:rFonts w:ascii="仿宋" w:hAnsi="仿宋" w:eastAsia="仿宋" w:cs="仿宋"/>
          <w:color w:val="333333"/>
          <w:sz w:val="32"/>
        </w:rPr>
        <w:t>年民盟宿州市总支部委员会部门国内公务接待共 0批次（其中外事接待0批次），0人次（其中外事接待0 人次）。</w:t>
      </w:r>
    </w:p>
    <w:p>
      <w:pPr>
        <w:spacing w:line="404" w:lineRule="auto"/>
        <w:ind w:left="-15" w:right="-15" w:firstLine="480" w:firstLineChars="150"/>
      </w:pPr>
      <w:r>
        <w:rPr>
          <w:rFonts w:ascii="仿宋" w:hAnsi="仿宋" w:eastAsia="仿宋" w:cs="仿宋"/>
          <w:color w:val="333333"/>
          <w:sz w:val="32"/>
        </w:rPr>
        <w:t>3.公务用车购置及运行维护费支出0万元，与</w:t>
      </w:r>
      <w:r>
        <w:rPr>
          <w:rFonts w:hint="eastAsia" w:ascii="仿宋" w:hAnsi="仿宋" w:eastAsia="仿宋" w:cs="仿宋"/>
          <w:color w:val="333333"/>
          <w:sz w:val="32"/>
          <w:lang w:eastAsia="zh-CN"/>
        </w:rPr>
        <w:t>2021</w:t>
      </w:r>
      <w:r>
        <w:rPr>
          <w:rFonts w:ascii="仿宋" w:hAnsi="仿宋" w:eastAsia="仿宋" w:cs="仿宋"/>
          <w:color w:val="333333"/>
          <w:sz w:val="32"/>
        </w:rPr>
        <w:t>年度预算相比，无变化。其中，公务用车购置费0万元，与</w:t>
      </w:r>
      <w:r>
        <w:rPr>
          <w:rFonts w:hint="eastAsia" w:ascii="仿宋" w:hAnsi="仿宋" w:eastAsia="仿宋" w:cs="仿宋"/>
          <w:color w:val="333333"/>
          <w:sz w:val="32"/>
          <w:lang w:eastAsia="zh-CN"/>
        </w:rPr>
        <w:t>2021</w:t>
      </w:r>
      <w:r>
        <w:rPr>
          <w:rFonts w:ascii="仿宋" w:hAnsi="仿宋" w:eastAsia="仿宋" w:cs="仿宋"/>
          <w:color w:val="333333"/>
          <w:sz w:val="32"/>
        </w:rPr>
        <w:t xml:space="preserve"> 年度预算相比，无变化</w:t>
      </w:r>
      <w:r>
        <w:rPr>
          <w:rFonts w:ascii="楷体" w:hAnsi="楷体" w:eastAsia="楷体" w:cs="楷体"/>
          <w:color w:val="333333"/>
          <w:sz w:val="32"/>
        </w:rPr>
        <w:t>。</w:t>
      </w:r>
      <w:r>
        <w:rPr>
          <w:rFonts w:ascii="仿宋" w:hAnsi="仿宋" w:eastAsia="仿宋" w:cs="仿宋"/>
          <w:color w:val="333333"/>
          <w:sz w:val="32"/>
        </w:rPr>
        <w:t>公务用车运行维护费0万元，与</w:t>
      </w:r>
      <w:r>
        <w:rPr>
          <w:rFonts w:hint="eastAsia" w:ascii="仿宋" w:hAnsi="仿宋" w:eastAsia="仿宋" w:cs="仿宋"/>
          <w:color w:val="333333"/>
          <w:sz w:val="32"/>
          <w:lang w:eastAsia="zh-CN"/>
        </w:rPr>
        <w:t>2021</w:t>
      </w:r>
      <w:r>
        <w:rPr>
          <w:rFonts w:ascii="仿宋" w:hAnsi="仿宋" w:eastAsia="仿宋" w:cs="仿宋"/>
          <w:color w:val="333333"/>
          <w:sz w:val="32"/>
        </w:rPr>
        <w:t xml:space="preserve"> 年度预算相比，无变化。截至</w:t>
      </w:r>
      <w:r>
        <w:rPr>
          <w:rFonts w:hint="eastAsia" w:ascii="仿宋" w:hAnsi="仿宋" w:eastAsia="仿宋" w:cs="仿宋"/>
          <w:color w:val="333333"/>
          <w:sz w:val="32"/>
          <w:lang w:eastAsia="zh-CN"/>
        </w:rPr>
        <w:t>2021</w:t>
      </w:r>
      <w:r>
        <w:rPr>
          <w:rFonts w:ascii="仿宋" w:hAnsi="仿宋" w:eastAsia="仿宋" w:cs="仿宋"/>
          <w:color w:val="333333"/>
          <w:sz w:val="32"/>
        </w:rPr>
        <w:t>年12月31日，民盟宿州市总支部委员会部门机关及所属单位开支财政拨款的公务用车保有量为0辆。</w:t>
      </w:r>
    </w:p>
    <w:sectPr>
      <w:pgSz w:w="11906" w:h="16838"/>
      <w:pgMar w:top="1594" w:right="1800" w:bottom="1816" w:left="18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documentProtection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lOTQxOTQ4ZWJhOWM4ZTQ1ZDMxZjlkNDgwNWUyNGIifQ=="/>
  </w:docVars>
  <w:rsids>
    <w:rsidRoot w:val="003C3151"/>
    <w:rsid w:val="003C3151"/>
    <w:rsid w:val="00E42828"/>
    <w:rsid w:val="5CA7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Calibri" w:hAnsi="Calibri" w:eastAsia="Calibri" w:cs="Calibri"/>
      <w:color w:val="000000"/>
      <w:kern w:val="2"/>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Gri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109</Words>
  <Characters>625</Characters>
  <Lines>5</Lines>
  <Paragraphs>1</Paragraphs>
  <TotalTime>2</TotalTime>
  <ScaleCrop>false</ScaleCrop>
  <LinksUpToDate>false</LinksUpToDate>
  <CharactersWithSpaces>733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2023-08-26T06:22:00Z</dcterms:created>
  <dc:creator>Administrator</dc:creator>
  <cp:lastModifiedBy>Administrator</cp:lastModifiedBy>
  <dcterms:modified xsi:type="dcterms:W3CDTF">2023-08-26T06:33:42Z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E3DD38B98C1946AE80ACA690BADCA288_12</vt:lpwstr>
  </property>
</Properties>
</file>