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宿州市</w:t>
      </w:r>
      <w:r>
        <w:rPr>
          <w:rFonts w:hint="eastAsia" w:ascii="宋体" w:hAnsi="宋体"/>
          <w:b/>
          <w:sz w:val="36"/>
          <w:szCs w:val="36"/>
          <w:lang w:eastAsia="zh-CN"/>
        </w:rPr>
        <w:t>九三学社</w:t>
      </w:r>
      <w:r>
        <w:rPr>
          <w:rFonts w:ascii="宋体" w:hAnsi="宋体"/>
          <w:b/>
          <w:sz w:val="36"/>
          <w:szCs w:val="36"/>
        </w:rPr>
        <w:t>2019年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hint="eastAsia"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sz w:val="6"/>
          <w:szCs w:val="32"/>
        </w:rPr>
      </w:pPr>
    </w:p>
    <w:p>
      <w:pPr>
        <w:rPr>
          <w:rFonts w:hint="eastAsia"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一、2019年度一般公共预算财政拨款“三公”经费支出决算表</w:t>
      </w:r>
    </w:p>
    <w:p>
      <w:pPr>
        <w:tabs>
          <w:tab w:val="left" w:pos="4706"/>
        </w:tabs>
        <w:ind w:firstLine="7216" w:firstLineChars="2298"/>
        <w:rPr>
          <w:rFonts w:hint="eastAsia"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  <w:lang w:eastAsia="zh-CN"/>
        </w:rPr>
        <w:tab/>
      </w:r>
      <w:bookmarkStart w:id="0" w:name="_GoBack"/>
      <w:bookmarkEnd w:id="0"/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1.6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</w:t>
            </w:r>
          </w:p>
        </w:tc>
      </w:tr>
    </w:tbl>
    <w:p>
      <w:pPr>
        <w:ind w:firstLine="628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hint="eastAsia"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、2019年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28" w:firstLineChars="200"/>
        <w:rPr>
          <w:rFonts w:hint="eastAsia"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宿州市</w:t>
      </w:r>
      <w:r>
        <w:rPr>
          <w:rFonts w:hint="eastAsia" w:ascii="仿宋_GB2312" w:hAnsi="仿宋"/>
          <w:szCs w:val="32"/>
          <w:lang w:eastAsia="zh-CN"/>
        </w:rPr>
        <w:t>九三学社</w:t>
      </w:r>
      <w:r>
        <w:rPr>
          <w:rFonts w:hint="eastAsia" w:ascii="仿宋_GB2312" w:hAnsi="仿宋"/>
          <w:szCs w:val="32"/>
        </w:rPr>
        <w:t>2019年度一般公共预算财政拨款“三公”经费支出预算为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1.6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0.34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21.25</w:t>
      </w:r>
      <w:r>
        <w:rPr>
          <w:rFonts w:hint="eastAsia" w:ascii="仿宋_GB2312" w:hAnsi="仿宋"/>
          <w:szCs w:val="32"/>
        </w:rPr>
        <w:t>%，决算数小于预算数的主要原因</w:t>
      </w:r>
      <w:r>
        <w:rPr>
          <w:rFonts w:hint="eastAsia" w:ascii="仿宋_GB2312" w:hAnsi="仿宋"/>
          <w:szCs w:val="32"/>
          <w:lang w:eastAsia="zh-CN"/>
        </w:rPr>
        <w:t>：减少不必要接待。</w:t>
      </w:r>
      <w:r>
        <w:rPr>
          <w:rFonts w:hint="eastAsia" w:ascii="仿宋_GB2312" w:hAnsi="仿宋"/>
          <w:szCs w:val="32"/>
        </w:rPr>
        <w:t>为全面反映“三公”经费支出，本次公布的“三公”经费决算为部门汇总数，包含宿州市</w:t>
      </w:r>
      <w:r>
        <w:rPr>
          <w:rFonts w:hint="eastAsia" w:ascii="仿宋_GB2312" w:hAnsi="仿宋"/>
          <w:szCs w:val="32"/>
          <w:lang w:eastAsia="zh-CN"/>
        </w:rPr>
        <w:t>九三学社</w:t>
      </w:r>
      <w:r>
        <w:rPr>
          <w:rFonts w:hint="eastAsia" w:ascii="仿宋_GB2312" w:hAnsi="仿宋"/>
          <w:szCs w:val="32"/>
        </w:rPr>
        <w:t>本级</w:t>
      </w:r>
      <w:r>
        <w:rPr>
          <w:rFonts w:hint="eastAsia" w:ascii="仿宋_GB2312" w:hAnsi="仿宋"/>
          <w:szCs w:val="32"/>
          <w:lang w:eastAsia="zh-CN"/>
        </w:rPr>
        <w:t>，无</w:t>
      </w:r>
      <w:r>
        <w:rPr>
          <w:rFonts w:hint="eastAsia" w:ascii="仿宋_GB2312" w:hAnsi="仿宋"/>
          <w:szCs w:val="32"/>
        </w:rPr>
        <w:t>下属单位。</w:t>
      </w:r>
    </w:p>
    <w:p>
      <w:pPr>
        <w:ind w:firstLine="628" w:firstLineChars="200"/>
        <w:rPr>
          <w:rFonts w:hint="eastAsia"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宿州市</w:t>
      </w:r>
      <w:r>
        <w:rPr>
          <w:rFonts w:hint="eastAsia" w:ascii="仿宋_GB2312" w:hAnsi="仿宋"/>
          <w:szCs w:val="32"/>
          <w:lang w:eastAsia="zh-CN"/>
        </w:rPr>
        <w:t>九三学社</w:t>
      </w:r>
      <w:r>
        <w:rPr>
          <w:rFonts w:hint="eastAsia" w:ascii="仿宋_GB2312" w:hAnsi="仿宋"/>
          <w:szCs w:val="32"/>
        </w:rPr>
        <w:t>2019年度一般公共预算财政拨款“三公”经费支出决算中，因公出国（境）费支出决算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0.34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</w:rPr>
        <w:t>万元，与2019年度预算相比</w:t>
      </w:r>
      <w:r>
        <w:rPr>
          <w:rFonts w:hint="eastAsia" w:ascii="仿宋_GB2312" w:hAnsi="仿宋"/>
          <w:szCs w:val="32"/>
          <w:lang w:eastAsia="zh-CN"/>
        </w:rPr>
        <w:t>持平。</w:t>
      </w:r>
      <w:r>
        <w:rPr>
          <w:rFonts w:hint="eastAsia" w:ascii="仿宋_GB2312" w:hAnsi="仿宋"/>
          <w:szCs w:val="32"/>
        </w:rPr>
        <w:t>原因是201</w:t>
      </w:r>
      <w:r>
        <w:rPr>
          <w:rFonts w:hint="eastAsia" w:ascii="仿宋_GB2312" w:hAnsi="仿宋"/>
          <w:szCs w:val="32"/>
          <w:lang w:val="en-US" w:eastAsia="zh-CN"/>
        </w:rPr>
        <w:t>9</w:t>
      </w:r>
      <w:r>
        <w:rPr>
          <w:rFonts w:hint="eastAsia" w:ascii="仿宋_GB2312" w:hAnsi="仿宋"/>
          <w:szCs w:val="32"/>
        </w:rPr>
        <w:t>年度未安排因公出国（境）费。故201</w:t>
      </w:r>
      <w:r>
        <w:rPr>
          <w:rFonts w:hint="eastAsia" w:ascii="仿宋_GB2312" w:hAnsi="仿宋"/>
          <w:szCs w:val="32"/>
          <w:lang w:val="en-US" w:eastAsia="zh-CN"/>
        </w:rPr>
        <w:t>9</w:t>
      </w:r>
      <w:r>
        <w:rPr>
          <w:rFonts w:hint="eastAsia" w:ascii="仿宋_GB2312" w:hAnsi="仿宋"/>
          <w:szCs w:val="32"/>
        </w:rPr>
        <w:t>年因公出国（境）团组0次，累计出国（境）0人次。“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  <w:lang w:val="en-US" w:eastAsia="zh-CN"/>
        </w:rPr>
        <w:t>.34</w:t>
      </w:r>
      <w:r>
        <w:rPr>
          <w:rFonts w:hint="eastAsia" w:ascii="仿宋_GB2312" w:hAnsi="仿宋"/>
          <w:szCs w:val="32"/>
        </w:rPr>
        <w:t>万元, 与2019年度预算相比，减少</w:t>
      </w:r>
      <w:r>
        <w:rPr>
          <w:rFonts w:hint="eastAsia" w:ascii="仿宋_GB2312" w:hAnsi="仿宋"/>
          <w:szCs w:val="32"/>
          <w:lang w:val="en-US" w:eastAsia="zh-CN"/>
        </w:rPr>
        <w:t>1.26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78.75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eastAsia="zh-CN"/>
        </w:rPr>
        <w:t>减少不必要接待。</w:t>
      </w:r>
      <w:r>
        <w:rPr>
          <w:rFonts w:hint="eastAsia" w:ascii="仿宋_GB2312" w:hAnsi="仿宋"/>
          <w:szCs w:val="32"/>
        </w:rPr>
        <w:t>2019年宿州市</w:t>
      </w:r>
      <w:r>
        <w:rPr>
          <w:rFonts w:hint="eastAsia" w:ascii="仿宋_GB2312" w:hAnsi="仿宋"/>
          <w:szCs w:val="32"/>
          <w:lang w:eastAsia="zh-CN"/>
        </w:rPr>
        <w:t>九三学社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4</w:t>
      </w:r>
      <w:r>
        <w:rPr>
          <w:rFonts w:hint="eastAsia" w:ascii="仿宋_GB2312" w:hAnsi="仿宋"/>
          <w:szCs w:val="32"/>
        </w:rPr>
        <w:t>批次主要是用于</w:t>
      </w:r>
      <w:r>
        <w:rPr>
          <w:rFonts w:hint="eastAsia" w:ascii="仿宋_GB2312" w:hAnsi="仿宋"/>
          <w:szCs w:val="32"/>
          <w:lang w:eastAsia="zh-CN"/>
        </w:rPr>
        <w:t>接待兄弟单位至宿调研、考察</w:t>
      </w:r>
      <w:r>
        <w:rPr>
          <w:rFonts w:hint="eastAsia" w:ascii="仿宋_GB2312" w:hAnsi="仿宋"/>
          <w:szCs w:val="32"/>
        </w:rPr>
        <w:t>。经费使用严格执行《党政机关厉行节约反对浪费条例》、《宿州市市直机关公务接待费管理暂行办法》（宿财行[2015]4号）相关规定。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</w:rPr>
        <w:t>万元，与2019年度预算相比</w:t>
      </w:r>
      <w:r>
        <w:rPr>
          <w:rFonts w:hint="eastAsia" w:ascii="仿宋_GB2312" w:hAnsi="仿宋"/>
          <w:szCs w:val="32"/>
          <w:lang w:eastAsia="zh-CN"/>
        </w:rPr>
        <w:t>持平。</w:t>
      </w:r>
      <w:r>
        <w:rPr>
          <w:rFonts w:hint="eastAsia" w:ascii="仿宋_GB2312" w:hAnsi="仿宋"/>
          <w:szCs w:val="32"/>
        </w:rPr>
        <w:t>截至2019年12月31日，宿州市</w:t>
      </w:r>
      <w:r>
        <w:rPr>
          <w:rFonts w:hint="eastAsia" w:ascii="仿宋_GB2312" w:hAnsi="仿宋"/>
          <w:szCs w:val="32"/>
          <w:lang w:eastAsia="zh-CN"/>
        </w:rPr>
        <w:t>九三学社</w:t>
      </w:r>
      <w:r>
        <w:rPr>
          <w:rFonts w:hint="eastAsia" w:ascii="仿宋_GB2312" w:hAnsi="仿宋"/>
          <w:szCs w:val="32"/>
        </w:rPr>
        <w:t>机关及所属单位开支财政拨款的公务用车保有量为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>
      <w:pPr>
        <w:tabs>
          <w:tab w:val="left" w:pos="2198"/>
        </w:tabs>
        <w:rPr>
          <w:rFonts w:hint="eastAsia"/>
        </w:rPr>
      </w:pPr>
      <w:r>
        <w:tab/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pStyle w:val="2"/>
        <w:ind w:left="1258" w:hanging="1258"/>
        <w:jc w:val="both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32"/>
        </w:rPr>
        <w:t xml:space="preserve">  </w:t>
      </w:r>
    </w:p>
    <w:p>
      <w:pPr>
        <w:pStyle w:val="2"/>
        <w:ind w:left="1258" w:hanging="1258"/>
        <w:jc w:val="both"/>
        <w:rPr>
          <w:rFonts w:hint="eastAsia" w:ascii="仿宋_GB2312" w:eastAsia="仿宋_GB2312"/>
          <w:sz w:val="32"/>
        </w:rPr>
      </w:pPr>
    </w:p>
    <w:p>
      <w:pPr>
        <w:pStyle w:val="2"/>
        <w:ind w:left="1258" w:hanging="1258"/>
        <w:jc w:val="both"/>
        <w:rPr>
          <w:rFonts w:hint="eastAsia" w:ascii="仿宋_GB2312" w:eastAsia="仿宋_GB2312"/>
          <w:sz w:val="32"/>
        </w:rPr>
      </w:pPr>
    </w:p>
    <w:p>
      <w:pPr>
        <w:pStyle w:val="2"/>
        <w:ind w:left="1258" w:hanging="1258"/>
        <w:jc w:val="both"/>
        <w:rPr>
          <w:rFonts w:hint="eastAsia" w:ascii="仿宋_GB2312" w:eastAsia="仿宋_GB2312"/>
          <w:sz w:val="32"/>
        </w:rPr>
      </w:pPr>
    </w:p>
    <w:p>
      <w:pPr>
        <w:pStyle w:val="2"/>
        <w:ind w:left="1258" w:hanging="1258"/>
        <w:jc w:val="both"/>
        <w:rPr>
          <w:rFonts w:hint="eastAsia" w:ascii="仿宋_GB2312" w:eastAsia="仿宋_GB2312"/>
          <w:sz w:val="32"/>
        </w:rPr>
      </w:pPr>
    </w:p>
    <w:p>
      <w:pPr>
        <w:pStyle w:val="2"/>
        <w:ind w:left="1258" w:hanging="1258"/>
        <w:jc w:val="both"/>
        <w:rPr>
          <w:rFonts w:hint="eastAsia" w:ascii="仿宋_GB2312" w:eastAsia="仿宋_GB2312"/>
          <w:sz w:val="32"/>
        </w:rPr>
      </w:pPr>
    </w:p>
    <w:p>
      <w:pPr>
        <w:pStyle w:val="2"/>
        <w:jc w:val="both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2155" w:right="1531" w:bottom="1588" w:left="1588" w:header="0" w:footer="1588" w:gutter="0"/>
      <w:cols w:space="720" w:num="1"/>
      <w:docGrid w:type="linesAndChars" w:linePitch="56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  <w:rFonts w:ascii="仿宋_GB2312"/>
        <w:sz w:val="28"/>
      </w:rPr>
    </w:pPr>
    <w:r>
      <w:rPr>
        <w:rStyle w:val="6"/>
        <w:rFonts w:hint="eastAsia" w:ascii="仿宋_GB2312"/>
        <w:sz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6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6"/>
        <w:rFonts w:ascii="仿宋_GB2312"/>
        <w:sz w:val="28"/>
        <w:szCs w:val="28"/>
      </w:rPr>
      <w:t>20</w:t>
    </w:r>
    <w:r>
      <w:rPr>
        <w:rFonts w:hint="eastAsia" w:ascii="仿宋_GB2312"/>
        <w:sz w:val="28"/>
        <w:szCs w:val="28"/>
      </w:rPr>
      <w:fldChar w:fldCharType="end"/>
    </w:r>
    <w:r>
      <w:rPr>
        <w:rStyle w:val="6"/>
        <w:rFonts w:hint="eastAsia" w:ascii="仿宋_GB2312"/>
        <w:sz w:val="28"/>
        <w:szCs w:val="28"/>
      </w:rPr>
      <w:t>-</w:t>
    </w:r>
  </w:p>
  <w:p>
    <w:pPr>
      <w:pStyle w:val="3"/>
      <w:ind w:right="360"/>
      <w:jc w:val="right"/>
      <w:rPr>
        <w:rFonts w:hint="eastAsia" w:ascii="仿宋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OTQxOTQ4ZWJhOWM4ZTQ1ZDMxZjlkNDgwNWUyNGIifQ=="/>
  </w:docVars>
  <w:rsids>
    <w:rsidRoot w:val="00000000"/>
    <w:rsid w:val="01502134"/>
    <w:rsid w:val="023E6995"/>
    <w:rsid w:val="1DF34E01"/>
    <w:rsid w:val="1E2874B1"/>
    <w:rsid w:val="27C855EA"/>
    <w:rsid w:val="31D46119"/>
    <w:rsid w:val="38F61B01"/>
    <w:rsid w:val="3E973828"/>
    <w:rsid w:val="4F021223"/>
    <w:rsid w:val="51BC3EF9"/>
    <w:rsid w:val="5C1E0247"/>
    <w:rsid w:val="680622D3"/>
    <w:rsid w:val="781C51FB"/>
    <w:rsid w:val="7A9952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2023-08-20T04:03:02Z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AC2D827FE6A34EB293B8FEA6FFC10DFB_12</vt:lpwstr>
  </property>
</Properties>
</file>