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Style w:val="12"/>
          <w:rFonts w:hint="eastAsia" w:ascii="方正小标宋_GBK" w:hAnsi="方正小标宋_GBK" w:eastAsia="方正小标宋_GBK" w:cs="方正小标宋_GBK"/>
          <w:kern w:val="2"/>
          <w:sz w:val="44"/>
          <w:szCs w:val="44"/>
          <w:shd w:val="clear" w:color="auto" w:fill="FFFFFF"/>
        </w:rPr>
      </w:pPr>
      <w:r>
        <w:rPr>
          <w:rStyle w:val="12"/>
          <w:rFonts w:hint="eastAsia" w:ascii="方正小标宋_GBK" w:hAnsi="方正小标宋_GBK" w:eastAsia="方正小标宋_GBK" w:cs="方正小标宋_GBK"/>
          <w:kern w:val="2"/>
          <w:sz w:val="44"/>
          <w:szCs w:val="44"/>
          <w:shd w:val="clear" w:color="auto" w:fill="FFFFFF"/>
        </w:rPr>
        <w:t>宿州市烟草专卖局关于印发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Style w:val="12"/>
          <w:rFonts w:hint="eastAsia" w:ascii="方正小标宋_GBK" w:hAnsi="方正小标宋_GBK" w:eastAsia="方正小标宋_GBK" w:cs="方正小标宋_GBK"/>
          <w:kern w:val="2"/>
          <w:sz w:val="44"/>
          <w:szCs w:val="44"/>
          <w:shd w:val="clear" w:color="auto" w:fill="FFFFFF"/>
        </w:rPr>
      </w:pPr>
      <w:r>
        <w:rPr>
          <w:rStyle w:val="12"/>
          <w:rFonts w:hint="eastAsia" w:ascii="方正小标宋_GBK" w:hAnsi="方正小标宋_GBK" w:eastAsia="方正小标宋_GBK" w:cs="方正小标宋_GBK"/>
          <w:kern w:val="2"/>
          <w:sz w:val="44"/>
          <w:szCs w:val="44"/>
          <w:shd w:val="clear" w:color="auto" w:fill="FFFFFF"/>
        </w:rPr>
        <w:t>《宿州市烟草制品零售点合理布局规划》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Style w:val="12"/>
          <w:rFonts w:hint="eastAsia" w:ascii="方正小标宋_GBK" w:hAnsi="方正小标宋_GBK" w:eastAsia="方正小标宋_GBK" w:cs="方正小标宋_GBK"/>
          <w:kern w:val="2"/>
          <w:sz w:val="44"/>
          <w:szCs w:val="44"/>
          <w:shd w:val="clear" w:color="auto" w:fill="FFFFFF"/>
        </w:rPr>
      </w:pPr>
      <w:r>
        <w:rPr>
          <w:rStyle w:val="12"/>
          <w:rFonts w:hint="eastAsia" w:ascii="方正小标宋_GBK" w:hAnsi="方正小标宋_GBK" w:eastAsia="方正小标宋_GBK" w:cs="方正小标宋_GBK"/>
          <w:kern w:val="2"/>
          <w:sz w:val="44"/>
          <w:szCs w:val="44"/>
          <w:shd w:val="clear" w:color="auto" w:fill="FFFFFF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宿烟专〔2021〕14号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各县烟草专卖局、直属分局：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为进一步贯彻落实《国家烟草专卖局关于印发烟草专卖许可证管理办法实施细则的通知》（国烟法〔202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0〕205号）文件要求，持续加强烟草制品零售点布局管理，规范烟草制品零售市场经营秩序，保护烟草制品经营者和消费者的合法权益，市局已根据省局《烟草制品零售点合理化布局指导意见》完成修订，并经市局办公会议研究通过，现印发给你们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宿州市烟草专卖局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525" w:rightChars="25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2021年2月25日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</w:rPr>
        <w:t>《宿州市烟草制品零售点合理布局规划》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黑体" w:cs="Times New Roman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第一章 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第一条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为加强烟草制品零售点布局管理，规范烟草制品零售市场经营秩序，保护烟草制品经营者和消费者的合法权益，根据《中华人民共和国烟草专卖法》、《中华人民共和国行政许可法》、《中华人民共和国烟草专卖法实施条例》、《烟草专卖许可证管理办法》、《安徽省烟草专卖局烟草制品零售点合理化布局指导意见》等有关规定，结合本市实际，制定本规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第二条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本规划所指烟草制品零售点（以下简称零售点），是指依法取得烟草专卖零售许可证从事烟草制品经营的公民、法人及其他组织开展卷烟零售经营活动的场所。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第三条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本规划适用于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shd w:val="clear" w:color="auto" w:fill="FFFFFF"/>
        </w:rPr>
        <w:t>宿州市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行政区域范围内零售点的设置。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第四条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零售点合理布局规划遵循依法行政、科学规划、服务社会、均衡发展的原则，坚持零售户总量与烟草制品消费需求相适应，根据辖区人口数量、交通状况、经济发展水平、消费能力等因素确定烟草制品零售点布局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第二章 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第五条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申请烟草专卖零售许可证，应当具备下列条件：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（一）有与经营烟草制品零售业务相适应的资金;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（二）有与住所相独立的固定经营场所；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（三）符合烟草制品零售点合理布局的要求；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（四）烟草专卖行政主管部门规定的其他条件。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第六条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第五条第二款“固定经营场所”指：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1、建筑物原则上应为砖木结构、砖混结构、钢筋混凝土结构或钢结构，且面向公众经营，消费者无需经过住宅区即可进店购买；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2、经营场所应有准确的门牌地址或方位表述、店名；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3、经营场所的营业面积应不少于10平方米，且具备烟草制品经营柜台和货架等基本设备设施；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4、具备相应的烟草制品存储条件；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5、租赁经营场所的，申请办证的日期至租赁期届满至少应在1年以上。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第三章  合理布局标准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第七条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零售点合理布局设定，应符合以下标准：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（一）市、区政府所在地的街道零售点间距不少于30米；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（二）县、乡镇政府、集市所在地的街道零售点间距不少于50米；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（三）县级以上非封闭型公路沿线零售点间距不小于500米；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（四）自然村（村民聚集地）内的零售点，按照村民户数予以设置，100户以下的可设置1个零售点，每增加100户可增设1个，最多不超过5个零售点；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五）封闭式居民小区或新开发的商品房小区内部门面（不包括一层沿街朝外经营的门面）的零售点按居民户数予以设置，200户以下可设置1个零售点，每增加200户可增设1个，最多不超过3个零售点，小区一层外部经营的门面按位于路段相应标准设置零售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（六）专业性市场内设置零售点数量不得超过门面总数或固定摊位户数的4%，内部零售点布局不受间距限制；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（七）同一楼房主体结构、同一地址、同一门牌号、同一法人的商场、超市、宾馆、酒店、歌吧，只设1个零售点，且原则上须在一楼经营；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（八）旅游风景区、飞机场、火车（高铁）站、汽车站和轮渡码头范围内部的零售点布局不受间距限制，最多不超过5个零售点；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（九）大专院校、农（渔）场企业、工业园区、大型厂矿内500人以下可设置1个零售点，每增加500人可增设1个，最多不超过5个零售点；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（十）规模较大的建设工地内部，根据实际情况，可设置1个零售点，许可证有效期最长不得超过2年；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（十一）军事单位、高速公路服务区（单侧）、拘留所、看守所、戒毒所、监狱等全封闭机构应按单位需求设置零售点，原则上每个单位可以设置1个零售点。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第八条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下列场所和情形之一的，不予设置零售点：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（一）经营化工、燃油、油漆、鞭炮、农药等有毒、有害、易燃、易爆等商品的经营场所；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（二）经营场所地处化工、爆炸物品仓库等重点防火单位或安全区域范围内的；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（三）森林保护区、博物馆、音乐厅、图书馆、展览馆、文物保护单位以及国家明令禁带火种的区域内；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（四）人员密集、相对封闭的公共场所如网吧、影剧院等；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（五）以房屋起居室、居民楼阳台、地下室、储藏室、流动摊点（车、棚）、活动板房、楼道隔断以及其他临时建筑物等作为对外营业窗口的；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（六）选址在违章建筑、待拆迁建筑、有产权纠纷的建筑以及城市规划和管理中不允许经营商品的区域；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（七）中小学、幼儿园学生进出通道口（含消防通道）可通行距离50米范围内的；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（八）中小学、幼儿园、托儿所、儿童活动中心、游乐场等未成年人活动场所内部；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（九）医院、诊所、药店等医疗卫生机构、门店内部；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（十）住宅小区内，除地面一层全开放式门店以外的其他场所；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十一）主要经营文具用品、未成年人用品、玩具、游戏厅、棋牌室、浴室、美容美发、洗涤护理、按摩健身、农资种子、兽医饲料、文化体育、传真打印、彩票销售、汽车美容、汽车租赁、汽车销售、运输信息、建材装潢、灯饰门业、五金交电、通信器材、金融证券、仪器仪表、金银珠宝、修理修配、服装制售、鞋帽包店、家纺、家私家电、房屋中介、寄卖典当、寄递业务、祭祀用品等与预包装食品业务无关的场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（十二）利用自动售货机（柜）或者其他自动售货形式，销售或变相销售烟草制品的；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（十三）利用信息网络销售烟草制品的；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（十四）申请人为未成年人、其他无民事行为能力人及限制民事行为能力人的；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（十五）外商投资的商业企业或者个体工商户，或者二者以特许、吸纳加盟店及其他再投资形式变相从事烟草专卖品经营业务的；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（十六）取消从事烟草专卖业务资格后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三年内提出申请的；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（十七）因申请人隐瞒有关情况或者提供虚假材料，烟草专卖行政主管部门做出不予受理或者不予发证决定后，申请人一年内再次提出申请的；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（十八）因申请人以欺骗、贿赂等不正当手段取得的烟草专卖许可证被撤销后，申请人三年内再次提出申请的；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（十九）未领取烟草专卖零售许可证经营烟草专卖品业务，并且一年内被执法机关处罚两次以上，在三年内申请领取烟草专卖零售许可证的；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（二十）未领取烟草专卖零售许可证经营烟草专卖品业务被追究刑事责任，在三年内申请领取烟草专卖零售许可证的；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（二十一）法律、法规、规章及行业有关规定明确的其他不予发证情形。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第九条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符合下列条件之一的，经烟草专卖行政主管部门核实批准，可优先考虑并适当放宽限制条件：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（一）原持有烟草专卖零售许可证，因道路规划、城市建设以及中小学、幼儿园改（扩）建等客观原因造成无法在核定经营地址经营，持证人申请变更到原发证机关辖区内其他地址经营的；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（二）除精神残疾、智力残疾或盲人、又聋又哑的残疾人外，持有三级（含）以上残疾证，首次办证的；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（三）残疾军人、烈士遗属、因公牺牲军人遗属、病故军人遗属或享受低保待遇，持有证件（县级以上政府相关部门出具有效证明材料），首次办证的；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（四）经营副食品为主业的商场、超市、卖场营业面积在200平方米以上的；娱乐休闲场所、饭店、宾馆（酒店）营业面积在500平方米以上的；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（五）幼儿园出入口（含消防通道）50米（可通行距离）以内，且在许可证有效期内的零售点，持证人申请变更到原发证机关辖区内其它地址经营的。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（六）通过当地市级烟草批发企业评审认定，且仅经营雪茄烟的雪茄专营店。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上述第（二）（三）项申请人在本省范围内只可享受一次办理零售点许可证的优惠政策，且只限本人经营。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第四章  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第十条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本规划所称“间距”是指拟申请零售点与其周边最近零售点之间按照进出经营场所通道（含对外经营窗口）两个门中心点之间的最近可通行距离。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可通行距离测量以行人不违反交通管理规定、正常行走为前提，若遇道路封闭、隔离带、人行道、转盘等，按照符合交通规则的最短通行路线进行测量。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申请人申请办理许可证的经营场所有两个及两个以上出（入）口的，各出（入）口应当同时达到所在区域零售点间距标准。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第十一条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本规划中的“营业面积”指用于营业的实用面积，不包括仓储、停车等辅助设施的面积；本规划中的“经营场所”，包含营业场所、仓储场所、办公场所等。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第十二条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本规划中的中小学，是指普通中小学、特殊教育学校、中等职业学校、专门学校。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第十三条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本规划中的“以上”、“内”均含本数，“不少于”不含本数。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第十四条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本规划适用于烟草专卖零售许可证新办申请。本规划实施之前已合法取得烟草专卖零售许可证，且正常从事卷烟经营业务，非规划因准予许可依据的法律、法规、规章修改或废止，或者所依据的客观情况发生重大变化且为公共利益的需要，或者具有依法可以撤销的情形，原许可继续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第十五条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烟草专卖零售许可证发证机关有权对辖区内取得零售许可证的公民、法人及其他组织生产经营活动进行监督检查，经检查不符合烟草专卖相关法律法规的，烟草专卖许可证发证机关可以依法责令暂停烟草专卖业务、进行整顿，直至取消其从事烟草专卖业务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第十六条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本规划由宿州市烟草专卖局负责解释。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</w:rPr>
        <w:t>第十七条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本规划自2021年3月1日起施行，原《宿州市烟草制品零售点合理布局规定》（宿政办秘〔2018〕117号）同时废止。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right="735" w:rightChars="35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宿州市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烟草专卖局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宿州市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烟草专卖局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WUxZjQwMTFiZjJkODlkZDlkNDlkZjQ3NGQyMjEifQ=="/>
  </w:docVars>
  <w:rsids>
    <w:rsidRoot w:val="00172A27"/>
    <w:rsid w:val="01711CB4"/>
    <w:rsid w:val="019E71BD"/>
    <w:rsid w:val="04B679C3"/>
    <w:rsid w:val="05E451B5"/>
    <w:rsid w:val="064A02BA"/>
    <w:rsid w:val="080F63D8"/>
    <w:rsid w:val="09341458"/>
    <w:rsid w:val="0B0912D7"/>
    <w:rsid w:val="0C227ABB"/>
    <w:rsid w:val="118728A6"/>
    <w:rsid w:val="152D2DCA"/>
    <w:rsid w:val="18FB01DB"/>
    <w:rsid w:val="1A2170CF"/>
    <w:rsid w:val="1DEC284C"/>
    <w:rsid w:val="1E6523AC"/>
    <w:rsid w:val="22440422"/>
    <w:rsid w:val="23B33488"/>
    <w:rsid w:val="24FF6042"/>
    <w:rsid w:val="2E512360"/>
    <w:rsid w:val="31A15F24"/>
    <w:rsid w:val="395347B5"/>
    <w:rsid w:val="39A232A0"/>
    <w:rsid w:val="39E745AA"/>
    <w:rsid w:val="3B5A6BBB"/>
    <w:rsid w:val="3C5A55BA"/>
    <w:rsid w:val="3E1C6FD2"/>
    <w:rsid w:val="3EDA13A6"/>
    <w:rsid w:val="42F058B7"/>
    <w:rsid w:val="436109F6"/>
    <w:rsid w:val="441A38D4"/>
    <w:rsid w:val="47A1129D"/>
    <w:rsid w:val="4BC77339"/>
    <w:rsid w:val="4C9236C5"/>
    <w:rsid w:val="4DEA6AA2"/>
    <w:rsid w:val="4F46264C"/>
    <w:rsid w:val="4FFF755F"/>
    <w:rsid w:val="505C172E"/>
    <w:rsid w:val="52F46F0B"/>
    <w:rsid w:val="53D8014D"/>
    <w:rsid w:val="53FD1143"/>
    <w:rsid w:val="54664AD1"/>
    <w:rsid w:val="55E064E0"/>
    <w:rsid w:val="563479C8"/>
    <w:rsid w:val="572C6D10"/>
    <w:rsid w:val="5D0A5CAC"/>
    <w:rsid w:val="5DC34279"/>
    <w:rsid w:val="5DC51367"/>
    <w:rsid w:val="608816D1"/>
    <w:rsid w:val="60EF4E7F"/>
    <w:rsid w:val="61DE5373"/>
    <w:rsid w:val="665233C1"/>
    <w:rsid w:val="6AD9688B"/>
    <w:rsid w:val="6D0E3F22"/>
    <w:rsid w:val="70BC57B2"/>
    <w:rsid w:val="7143439E"/>
    <w:rsid w:val="79BF7377"/>
    <w:rsid w:val="7C9011D9"/>
    <w:rsid w:val="7DC651C5"/>
    <w:rsid w:val="7E692AD8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eastAsia="方正仿宋_GBK"/>
      <w:b/>
      <w:bCs/>
      <w:kern w:val="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4"/>
    <w:next w:val="1"/>
    <w:unhideWhenUsed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  <w:spacing w:line="240" w:lineRule="auto"/>
    </w:pPr>
    <w:rPr>
      <w:rFonts w:ascii="Calibri" w:hAnsi="Calibri" w:eastAsia="宋体" w:cs="宋体"/>
      <w:kern w:val="0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3688</Words>
  <Characters>3733</Characters>
  <Lines>1</Lines>
  <Paragraphs>1</Paragraphs>
  <TotalTime>4</TotalTime>
  <ScaleCrop>false</ScaleCrop>
  <LinksUpToDate>false</LinksUpToDate>
  <CharactersWithSpaces>3759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王可</cp:lastModifiedBy>
  <cp:lastPrinted>2021-10-26T03:30:00Z</cp:lastPrinted>
  <dcterms:modified xsi:type="dcterms:W3CDTF">2023-02-01T00:33:35Z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48C61CB29D3F4D9384F5922CF0F7FFB4</vt:lpwstr>
  </property>
</Properties>
</file>