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313" w:afterLines="100" w:line="600" w:lineRule="exact"/>
        <w:ind w:firstLine="901" w:firstLineChars="250"/>
        <w:textAlignment w:val="auto"/>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eastAsia="zh-CN"/>
        </w:rPr>
        <w:t>宿州市委编办</w:t>
      </w:r>
      <w:r>
        <w:rPr>
          <w:rFonts w:hint="eastAsia" w:ascii="华文中宋" w:hAnsi="华文中宋" w:eastAsia="华文中宋" w:cs="华文中宋"/>
          <w:b/>
          <w:sz w:val="36"/>
          <w:szCs w:val="36"/>
          <w:lang w:val="en-US" w:eastAsia="zh-CN"/>
        </w:rPr>
        <w:t>2021年</w:t>
      </w:r>
      <w:r>
        <w:rPr>
          <w:rFonts w:hint="eastAsia" w:ascii="华文中宋" w:hAnsi="华文中宋" w:eastAsia="华文中宋" w:cs="华文中宋"/>
          <w:b/>
          <w:sz w:val="36"/>
          <w:szCs w:val="36"/>
        </w:rPr>
        <w:t>项目</w:t>
      </w:r>
      <w:r>
        <w:rPr>
          <w:rFonts w:hint="eastAsia" w:ascii="华文中宋" w:hAnsi="华文中宋" w:eastAsia="华文中宋" w:cs="华文中宋"/>
          <w:b/>
          <w:sz w:val="36"/>
          <w:szCs w:val="36"/>
          <w:lang w:eastAsia="zh-CN"/>
        </w:rPr>
        <w:t>及</w:t>
      </w:r>
      <w:r>
        <w:rPr>
          <w:rFonts w:hint="eastAsia" w:ascii="华文中宋" w:hAnsi="华文中宋" w:eastAsia="华文中宋" w:cs="华文中宋"/>
          <w:b/>
          <w:sz w:val="36"/>
          <w:szCs w:val="36"/>
        </w:rPr>
        <w:t>绩效目标情况</w:t>
      </w:r>
    </w:p>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rPr>
        <w:t>1.“机构编制管理及编制周转池改革工作”项目。</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w:t>
      </w:r>
      <w:r>
        <w:rPr>
          <w:rFonts w:hint="eastAsia" w:ascii="仿宋_GB2312" w:hAnsi="楷体" w:eastAsia="仿宋_GB2312"/>
          <w:sz w:val="32"/>
          <w:szCs w:val="32"/>
        </w:rPr>
        <w:t>机构编制管理及编制周转池改革工作</w:t>
      </w:r>
      <w:r>
        <w:rPr>
          <w:rFonts w:hint="eastAsia" w:ascii="仿宋_GB2312" w:hAnsi="楷体" w:eastAsia="仿宋_GB2312"/>
          <w:sz w:val="32"/>
          <w:szCs w:val="32"/>
          <w:lang w:eastAsia="zh-CN"/>
        </w:rPr>
        <w:t>。</w:t>
      </w:r>
    </w:p>
    <w:p>
      <w:pPr>
        <w:spacing w:line="600" w:lineRule="exact"/>
        <w:rPr>
          <w:rFonts w:hint="default" w:ascii="仿宋_GB2312" w:hAnsi="楷体" w:eastAsia="仿宋"/>
          <w:sz w:val="32"/>
          <w:szCs w:val="32"/>
          <w:u w:val="single"/>
          <w:lang w:val="en-US" w:eastAsia="zh-CN"/>
        </w:rPr>
      </w:pPr>
      <w:r>
        <w:rPr>
          <w:rFonts w:hint="eastAsia" w:ascii="仿宋_GB2312" w:hAnsi="楷体" w:eastAsia="仿宋_GB2312"/>
          <w:sz w:val="32"/>
          <w:szCs w:val="32"/>
        </w:rPr>
        <w:t>（2）</w:t>
      </w:r>
      <w:r>
        <w:rPr>
          <w:rFonts w:hint="eastAsia" w:ascii="仿宋_GB2312" w:hAnsi="楷体" w:eastAsia="仿宋_GB2312"/>
          <w:sz w:val="32"/>
          <w:szCs w:val="32"/>
          <w:highlight w:val="none"/>
        </w:rPr>
        <w:t>立项依据</w:t>
      </w: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《安徽省机构编制委员会关于印发&lt;安徽省机构编制核查实施办法&gt;的通知》（皖编</w:t>
      </w:r>
      <w:r>
        <w:rPr>
          <w:rFonts w:hint="eastAsia" w:ascii="仿宋" w:hAnsi="仿宋" w:eastAsia="仿宋" w:cs="仿宋"/>
          <w:sz w:val="32"/>
        </w:rPr>
        <w:t>〔</w:t>
      </w:r>
      <w:r>
        <w:rPr>
          <w:rFonts w:hint="eastAsia" w:ascii="仿宋" w:hAnsi="仿宋" w:eastAsia="仿宋" w:cs="仿宋"/>
          <w:sz w:val="32"/>
          <w:lang w:val="en-US" w:eastAsia="zh-CN"/>
        </w:rPr>
        <w:t>2017</w:t>
      </w:r>
      <w:r>
        <w:rPr>
          <w:rFonts w:hint="eastAsia" w:ascii="仿宋" w:hAnsi="仿宋" w:eastAsia="仿宋" w:cs="仿宋"/>
          <w:sz w:val="32"/>
        </w:rPr>
        <w:t>〕</w:t>
      </w:r>
      <w:r>
        <w:rPr>
          <w:rFonts w:hint="eastAsia" w:ascii="仿宋" w:hAnsi="仿宋" w:eastAsia="仿宋" w:cs="仿宋"/>
          <w:sz w:val="32"/>
          <w:lang w:val="en-US" w:eastAsia="zh-CN"/>
        </w:rPr>
        <w:t>12号）。</w:t>
      </w:r>
    </w:p>
    <w:p>
      <w:pPr>
        <w:adjustRightInd w:val="0"/>
        <w:snapToGrid w:val="0"/>
        <w:spacing w:line="600" w:lineRule="exact"/>
        <w:rPr>
          <w:rFonts w:hint="default" w:ascii="仿宋_GB2312" w:hAnsi="仿宋" w:eastAsia="仿宋_GB2312"/>
          <w:sz w:val="32"/>
          <w:szCs w:val="32"/>
          <w:lang w:val="en-US"/>
        </w:rPr>
      </w:pPr>
      <w:r>
        <w:rPr>
          <w:rFonts w:hint="eastAsia" w:ascii="仿宋_GB2312" w:hAnsi="楷体" w:eastAsia="仿宋_GB2312"/>
          <w:sz w:val="32"/>
          <w:szCs w:val="32"/>
        </w:rPr>
        <w:t>（3）起止时间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2021年1月1日至2023年12月31日。</w:t>
      </w:r>
    </w:p>
    <w:p>
      <w:pPr>
        <w:spacing w:line="600" w:lineRule="exact"/>
        <w:rPr>
          <w:rFonts w:hint="eastAsia" w:ascii="仿宋_GB2312" w:hAnsi="仿宋_GB2312" w:eastAsia="仿宋_GB2312" w:cs="仿宋_GB2312"/>
          <w:bCs/>
          <w:sz w:val="30"/>
          <w:szCs w:val="30"/>
          <w:highlight w:val="none"/>
          <w:lang w:eastAsia="zh-CN"/>
        </w:rPr>
      </w:pPr>
      <w:r>
        <w:rPr>
          <w:rFonts w:hint="eastAsia" w:ascii="仿宋_GB2312" w:hAnsi="楷体" w:eastAsia="仿宋_GB2312"/>
          <w:sz w:val="32"/>
          <w:szCs w:val="32"/>
        </w:rPr>
        <w:t>（4）</w:t>
      </w:r>
      <w:r>
        <w:rPr>
          <w:rFonts w:hint="eastAsia" w:ascii="仿宋_GB2312" w:hAnsi="楷体" w:eastAsia="仿宋_GB2312"/>
          <w:sz w:val="32"/>
          <w:szCs w:val="32"/>
          <w:highlight w:val="none"/>
        </w:rPr>
        <w:t>项目内容</w:t>
      </w: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负责市本级及各县区副科级以上党政机关，人大、政协机关，各民主党派、人民团体机关及事业单位的机构编制管理工作，审核上述各单位机构设置及编制调整方案。进一步贯彻落实公立医院和中小学编制周转池制度，做好公立医院周转池用编事宜和中小学教职工编制核编事宜，实现周转池制度效益。做好省委编办对我市周转池使用情况第一轮评估的相关准备工作。建立健全乡镇卫生院编制周转池制度。</w:t>
      </w:r>
    </w:p>
    <w:p>
      <w:pPr>
        <w:adjustRightInd w:val="0"/>
        <w:snapToGrid w:val="0"/>
        <w:spacing w:line="600" w:lineRule="exact"/>
        <w:rPr>
          <w:rFonts w:hint="default" w:ascii="仿宋_GB2312" w:hAnsi="楷体" w:eastAsia="仿宋_GB2312"/>
          <w:sz w:val="32"/>
          <w:szCs w:val="32"/>
          <w:lang w:val="en-US" w:eastAsia="zh-CN"/>
        </w:rPr>
      </w:pPr>
      <w:r>
        <w:rPr>
          <w:rFonts w:hint="eastAsia" w:ascii="仿宋_GB2312" w:hAnsi="楷体" w:eastAsia="仿宋_GB2312"/>
          <w:sz w:val="32"/>
          <w:szCs w:val="32"/>
        </w:rPr>
        <w:t>（5）年度预算安排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30万元。</w:t>
      </w:r>
    </w:p>
    <w:p>
      <w:pPr>
        <w:adjustRightInd w:val="0"/>
        <w:snapToGrid w:val="0"/>
        <w:spacing w:line="600" w:lineRule="exact"/>
        <w:jc w:val="both"/>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6）绩效目标和指标：详见下表。</w:t>
      </w:r>
    </w:p>
    <w:tbl>
      <w:tblPr>
        <w:tblStyle w:val="2"/>
        <w:tblpPr w:leftFromText="180" w:rightFromText="180" w:vertAnchor="text" w:horzAnchor="page" w:tblpX="150" w:tblpY="786"/>
        <w:tblOverlap w:val="never"/>
        <w:tblW w:w="11620" w:type="dxa"/>
        <w:tblInd w:w="0" w:type="dxa"/>
        <w:tblLayout w:type="autofit"/>
        <w:tblCellMar>
          <w:top w:w="0" w:type="dxa"/>
          <w:left w:w="0" w:type="dxa"/>
          <w:bottom w:w="0" w:type="dxa"/>
          <w:right w:w="0" w:type="dxa"/>
        </w:tblCellMar>
      </w:tblPr>
      <w:tblGrid>
        <w:gridCol w:w="565"/>
        <w:gridCol w:w="91"/>
        <w:gridCol w:w="474"/>
        <w:gridCol w:w="267"/>
        <w:gridCol w:w="876"/>
        <w:gridCol w:w="32"/>
        <w:gridCol w:w="2065"/>
        <w:gridCol w:w="604"/>
        <w:gridCol w:w="540"/>
        <w:gridCol w:w="413"/>
        <w:gridCol w:w="414"/>
        <w:gridCol w:w="501"/>
        <w:gridCol w:w="642"/>
        <w:gridCol w:w="729"/>
        <w:gridCol w:w="1490"/>
        <w:gridCol w:w="91"/>
        <w:gridCol w:w="862"/>
        <w:gridCol w:w="145"/>
        <w:gridCol w:w="819"/>
      </w:tblGrid>
      <w:tr>
        <w:tblPrEx>
          <w:tblCellMar>
            <w:top w:w="0" w:type="dxa"/>
            <w:left w:w="0" w:type="dxa"/>
            <w:bottom w:w="0" w:type="dxa"/>
            <w:right w:w="0" w:type="dxa"/>
          </w:tblCellMar>
        </w:tblPrEx>
        <w:trPr>
          <w:trHeight w:val="658" w:hRule="atLeast"/>
        </w:trPr>
        <w:tc>
          <w:tcPr>
            <w:tcW w:w="11620"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40" w:hRule="atLeast"/>
        </w:trPr>
        <w:tc>
          <w:tcPr>
            <w:tcW w:w="11620"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（2021年度）</w:t>
            </w:r>
          </w:p>
        </w:tc>
      </w:tr>
      <w:tr>
        <w:tblPrEx>
          <w:tblCellMar>
            <w:top w:w="0" w:type="dxa"/>
            <w:left w:w="0" w:type="dxa"/>
            <w:bottom w:w="0" w:type="dxa"/>
            <w:right w:w="0" w:type="dxa"/>
          </w:tblCellMar>
        </w:tblPrEx>
        <w:trPr>
          <w:trHeight w:val="439" w:hRule="atLeast"/>
        </w:trPr>
        <w:tc>
          <w:tcPr>
            <w:tcW w:w="656"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41"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08"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66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53"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15"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71"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490"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53"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4" w:type="dxa"/>
            <w:gridSpan w:val="2"/>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72" w:hRule="atLeast"/>
        </w:trPr>
        <w:tc>
          <w:tcPr>
            <w:tcW w:w="2305"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315" w:type="dxa"/>
            <w:gridSpan w:val="1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机构编制管理及编制周转池改革工作</w:t>
            </w:r>
          </w:p>
        </w:tc>
      </w:tr>
      <w:tr>
        <w:tblPrEx>
          <w:tblCellMar>
            <w:top w:w="0" w:type="dxa"/>
            <w:left w:w="0" w:type="dxa"/>
            <w:bottom w:w="0" w:type="dxa"/>
            <w:right w:w="0" w:type="dxa"/>
          </w:tblCellMar>
        </w:tblPrEx>
        <w:trPr>
          <w:trHeight w:val="472" w:hRule="atLeast"/>
        </w:trPr>
        <w:tc>
          <w:tcPr>
            <w:tcW w:w="2305"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537"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lang w:eastAsia="zh-CN"/>
              </w:rPr>
            </w:pPr>
            <w:r>
              <w:rPr>
                <w:rFonts w:hint="eastAsia" w:ascii="宋体" w:hAnsi="宋体" w:cs="宋体"/>
                <w:kern w:val="0"/>
                <w:sz w:val="24"/>
              </w:rPr>
              <w:t>　</w:t>
            </w:r>
            <w:r>
              <w:rPr>
                <w:rFonts w:hint="eastAsia" w:ascii="宋体" w:hAnsi="宋体" w:cs="宋体"/>
                <w:kern w:val="0"/>
                <w:sz w:val="24"/>
                <w:lang w:eastAsia="zh-CN"/>
              </w:rPr>
              <w:t>宿州市委编办</w:t>
            </w:r>
          </w:p>
        </w:tc>
        <w:tc>
          <w:tcPr>
            <w:tcW w:w="286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91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72" w:hRule="atLeast"/>
        </w:trPr>
        <w:tc>
          <w:tcPr>
            <w:tcW w:w="2305"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537"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86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91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72" w:hRule="atLeast"/>
        </w:trPr>
        <w:tc>
          <w:tcPr>
            <w:tcW w:w="2305" w:type="dxa"/>
            <w:gridSpan w:val="6"/>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6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68"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90</w:t>
            </w:r>
            <w:r>
              <w:rPr>
                <w:rFonts w:hint="eastAsia" w:ascii="宋体" w:hAnsi="宋体" w:cs="宋体"/>
                <w:kern w:val="0"/>
                <w:sz w:val="24"/>
              </w:rPr>
              <w:t>　</w:t>
            </w:r>
          </w:p>
        </w:tc>
        <w:tc>
          <w:tcPr>
            <w:tcW w:w="286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91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30</w:t>
            </w:r>
          </w:p>
        </w:tc>
      </w:tr>
      <w:tr>
        <w:tblPrEx>
          <w:tblCellMar>
            <w:top w:w="0" w:type="dxa"/>
            <w:left w:w="0" w:type="dxa"/>
            <w:bottom w:w="0" w:type="dxa"/>
            <w:right w:w="0" w:type="dxa"/>
          </w:tblCellMar>
        </w:tblPrEx>
        <w:trPr>
          <w:trHeight w:val="472" w:hRule="atLeast"/>
        </w:trPr>
        <w:tc>
          <w:tcPr>
            <w:tcW w:w="2305"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66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68"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90</w:t>
            </w:r>
          </w:p>
        </w:tc>
        <w:tc>
          <w:tcPr>
            <w:tcW w:w="2861" w:type="dxa"/>
            <w:gridSpan w:val="3"/>
            <w:tcBorders>
              <w:top w:val="single" w:color="auto"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917"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30</w:t>
            </w:r>
          </w:p>
        </w:tc>
      </w:tr>
      <w:tr>
        <w:tblPrEx>
          <w:tblCellMar>
            <w:top w:w="0" w:type="dxa"/>
            <w:left w:w="0" w:type="dxa"/>
            <w:bottom w:w="0" w:type="dxa"/>
            <w:right w:w="0" w:type="dxa"/>
          </w:tblCellMar>
        </w:tblPrEx>
        <w:trPr>
          <w:trHeight w:val="472" w:hRule="atLeast"/>
        </w:trPr>
        <w:tc>
          <w:tcPr>
            <w:tcW w:w="2305"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6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861"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91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72" w:hRule="atLeast"/>
        </w:trPr>
        <w:tc>
          <w:tcPr>
            <w:tcW w:w="5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7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5279"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3447"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目标1：坚持优化协同高效的原则，统筹谋划好党政机构职能体系建设，配置好机构编制资源，提高各类组织机构贯彻落实党的决策部署的效率，构建运行顺畅、充满活力、令行禁止的工作体系。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着力解决教育、卫生等民生领域人员编制短缺突出问题，破解编制资源配置固化难题，依托机构编制管理大数据平台，将长期闲置的空编统筹起来，建立编制周转池，向教育、卫生等急需行业投放，着力破解编制资源配置存在的“无编可用”和“有编无用”并存的问题。</w:t>
            </w:r>
          </w:p>
        </w:tc>
        <w:tc>
          <w:tcPr>
            <w:tcW w:w="5279"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目标1：负责市本级及各县区副科级以上党政机关，人大、政协机关，各民主党派、人民团体机关及事业单位的机构编制管理工作，审核上述各单位机构设置及编制调整方案。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进一步贯彻落实公立医院和中小学编制周转池制度，做好公立医院周转池用编事宜和中小学教职工编制核编事宜，实现周转池制度效益。做好省委编办对我市周转池使用情况第一轮评估的相关准备工作。建立健全乡镇卫生院编制周转池制度。</w:t>
            </w:r>
          </w:p>
        </w:tc>
      </w:tr>
      <w:tr>
        <w:tblPrEx>
          <w:tblCellMar>
            <w:top w:w="0" w:type="dxa"/>
            <w:left w:w="0" w:type="dxa"/>
            <w:bottom w:w="0" w:type="dxa"/>
            <w:right w:w="0" w:type="dxa"/>
          </w:tblCellMar>
        </w:tblPrEx>
        <w:trPr>
          <w:trHeight w:val="670" w:hRule="atLeast"/>
        </w:trPr>
        <w:tc>
          <w:tcPr>
            <w:tcW w:w="5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1581"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5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指标1：审核市直党政机关、人大政协机关、各民主党派、人民团体机构编制事项</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市直62家行政机构</w:t>
            </w:r>
          </w:p>
        </w:tc>
        <w:tc>
          <w:tcPr>
            <w:tcW w:w="82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计划审核62个</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1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指标1：审核市直47家党政机关、人大政协机关、各民主党派、人民团体机构编制事项</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市直62家行政机构</w:t>
            </w:r>
          </w:p>
        </w:tc>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计划审核47个</w:t>
            </w:r>
          </w:p>
        </w:tc>
      </w:tr>
      <w:tr>
        <w:tblPrEx>
          <w:tblCellMar>
            <w:top w:w="0" w:type="dxa"/>
            <w:left w:w="0" w:type="dxa"/>
            <w:bottom w:w="0" w:type="dxa"/>
            <w:right w:w="0" w:type="dxa"/>
          </w:tblCellMar>
        </w:tblPrEx>
        <w:trPr>
          <w:trHeight w:val="2203"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指标2：规范管理上级批复的公立医院及中小学教职工周转池编制使用</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全市10家公立医院周转池编制2280名、中小学周转池编制1748名</w:t>
            </w:r>
          </w:p>
        </w:tc>
        <w:tc>
          <w:tcPr>
            <w:tcW w:w="82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指标2：规范管理上级批复的公立医院及中小学教职工周转池编制使用</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全市10家公立医院周转池编制2280名、中小学周转池编制1748名</w:t>
            </w:r>
          </w:p>
        </w:tc>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8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指标1：实现党政机构设置的优化协同高效</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指标1：实现党政机构设置的优化协同高效</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9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指标2：着力解决教育、卫生等民生领域人员编制短缺突出问题</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指标2：着力解决教育、卫生等民生领域人员编制短缺突出问题</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581"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指标1：对市直各单位报送的机构编制事项予以答复或提请会议研究</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递交请示一周内予以答复或适时提请会议研究</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指标1：对市直各单位报送的机构编制事项予以答复或提请会议研究</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递交请示一周内予以答复或适时提请会议研究</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8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指标2：完成公立医院编制周转池入编及流转工作</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指标2：完成公立医院编制周转池使用申报工作</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指标1：控编减编</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财政供养人员只减不增</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指标1：控编减编</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财政供养人员只减不增</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14"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指标2：实现编制使用效率的最大化</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指标2：实现编制使用效率的最大化</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9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指标1：提高政府在市场监管、应急管理、医疗保障等各方面的履职能力</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逐步提高</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指标1：提高政府在市场监管、应急管理、医疗保障等各方面的履职能力</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逐步提高</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指标2：招聘一批高素质教师和医生</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周转池编制空编范围内</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指标2：招聘一批高素质教师和医生</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周转池编制空编范围内</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7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指标1：优化生态环境保护管理机构及监察监测机构设置</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逐步提高</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指标1：完成生态环境保护监察监测体制改革</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指标1：解决事关长远的体制机制问题</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提高治理能力和治理水平</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指标1：解决事关长远的体制机制问题</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提高治理能力和治理水平</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7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指标2：在一定时期内提高提高全市公共卫生、教育文化水平</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指标2：在一定时期内提高提高全市公共卫生、教育文化水平</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8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指标1：人民群众对机关工作效能的满意度</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指标1：机关人员对机构设置和职能配置的满意度</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r>
        <w:tblPrEx>
          <w:tblCellMar>
            <w:top w:w="0" w:type="dxa"/>
            <w:left w:w="0" w:type="dxa"/>
            <w:bottom w:w="0" w:type="dxa"/>
            <w:right w:w="0" w:type="dxa"/>
          </w:tblCellMar>
        </w:tblPrEx>
        <w:trPr>
          <w:trHeight w:val="100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指标2：人民群众对教育和医疗水平的满意度</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指标2：公立医院和中小学对于职称晋升满意度</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rPr>
        <w:t>2.“机构编制实名制网上业务办理及控编减编督查工作”项目。</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：机构编制实名制网上业务办理及控编减编督查工作。</w:t>
      </w:r>
    </w:p>
    <w:p>
      <w:pPr>
        <w:spacing w:line="600" w:lineRule="exact"/>
        <w:rPr>
          <w:rFonts w:hint="default" w:ascii="仿宋_GB2312" w:hAnsi="楷体" w:eastAsia="仿宋"/>
          <w:sz w:val="32"/>
          <w:szCs w:val="32"/>
          <w:highlight w:val="none"/>
          <w:u w:val="single"/>
          <w:lang w:val="en-US" w:eastAsia="zh-CN"/>
        </w:rPr>
      </w:pPr>
      <w:r>
        <w:rPr>
          <w:rFonts w:hint="eastAsia" w:ascii="仿宋_GB2312" w:hAnsi="楷体" w:eastAsia="仿宋_GB2312"/>
          <w:sz w:val="32"/>
          <w:szCs w:val="32"/>
        </w:rPr>
        <w:t>（2）</w:t>
      </w:r>
      <w:r>
        <w:rPr>
          <w:rFonts w:hint="eastAsia" w:ascii="仿宋_GB2312" w:hAnsi="楷体" w:eastAsia="仿宋_GB2312"/>
          <w:sz w:val="32"/>
          <w:szCs w:val="32"/>
          <w:highlight w:val="none"/>
        </w:rPr>
        <w:t>立项依据</w:t>
      </w:r>
      <w:r>
        <w:rPr>
          <w:rFonts w:hint="eastAsia" w:ascii="仿宋_GB2312" w:hAnsi="楷体" w:eastAsia="仿宋_GB2312"/>
          <w:sz w:val="32"/>
          <w:szCs w:val="32"/>
          <w:highlight w:val="none"/>
          <w:lang w:eastAsia="zh-CN"/>
        </w:rPr>
        <w:t>：《关于印发</w:t>
      </w:r>
      <w:r>
        <w:rPr>
          <w:rFonts w:hint="eastAsia" w:ascii="仿宋_GB2312" w:hAnsi="楷体" w:eastAsia="仿宋_GB2312"/>
          <w:sz w:val="32"/>
          <w:szCs w:val="32"/>
          <w:highlight w:val="none"/>
          <w:lang w:val="en-US" w:eastAsia="zh-CN"/>
        </w:rPr>
        <w:t>&lt;</w:t>
      </w:r>
      <w:r>
        <w:rPr>
          <w:rFonts w:hint="eastAsia" w:ascii="仿宋_GB2312" w:hAnsi="楷体" w:eastAsia="仿宋_GB2312"/>
          <w:sz w:val="32"/>
          <w:szCs w:val="32"/>
          <w:highlight w:val="none"/>
          <w:lang w:eastAsia="zh-CN"/>
        </w:rPr>
        <w:t>宿州市市直机关事业单位实名制管理业务网上办理工作实施方案</w:t>
      </w:r>
      <w:r>
        <w:rPr>
          <w:rFonts w:hint="eastAsia" w:ascii="仿宋_GB2312" w:hAnsi="楷体" w:eastAsia="仿宋_GB2312"/>
          <w:sz w:val="32"/>
          <w:szCs w:val="32"/>
          <w:highlight w:val="none"/>
          <w:lang w:val="en-US" w:eastAsia="zh-CN"/>
        </w:rPr>
        <w:t>&gt;</w:t>
      </w:r>
      <w:r>
        <w:rPr>
          <w:rFonts w:hint="eastAsia" w:ascii="仿宋_GB2312" w:hAnsi="楷体" w:eastAsia="仿宋_GB2312"/>
          <w:sz w:val="32"/>
          <w:szCs w:val="32"/>
          <w:highlight w:val="none"/>
          <w:lang w:eastAsia="zh-CN"/>
        </w:rPr>
        <w:t>的通知》</w:t>
      </w:r>
      <w:r>
        <w:rPr>
          <w:rFonts w:hint="eastAsia" w:ascii="仿宋_GB2312" w:hAnsi="楷体" w:eastAsia="仿宋_GB2312"/>
          <w:sz w:val="32"/>
          <w:szCs w:val="32"/>
          <w:highlight w:val="none"/>
          <w:lang w:val="en-US" w:eastAsia="zh-CN"/>
        </w:rPr>
        <w:t>(宿编办</w:t>
      </w:r>
      <w:r>
        <w:rPr>
          <w:rFonts w:hint="eastAsia" w:ascii="仿宋" w:hAnsi="仿宋" w:eastAsia="仿宋" w:cs="仿宋"/>
          <w:sz w:val="32"/>
        </w:rPr>
        <w:t>〔</w:t>
      </w:r>
      <w:r>
        <w:rPr>
          <w:rFonts w:hint="eastAsia" w:ascii="仿宋" w:hAnsi="仿宋" w:eastAsia="仿宋" w:cs="仿宋"/>
          <w:sz w:val="32"/>
          <w:lang w:val="en-US" w:eastAsia="zh-CN"/>
        </w:rPr>
        <w:t>2018</w:t>
      </w:r>
      <w:r>
        <w:rPr>
          <w:rFonts w:hint="eastAsia" w:ascii="仿宋" w:hAnsi="仿宋" w:eastAsia="仿宋" w:cs="仿宋"/>
          <w:sz w:val="32"/>
        </w:rPr>
        <w:t>〕</w:t>
      </w:r>
      <w:r>
        <w:rPr>
          <w:rFonts w:hint="eastAsia" w:ascii="仿宋" w:hAnsi="仿宋" w:eastAsia="仿宋" w:cs="仿宋"/>
          <w:sz w:val="32"/>
          <w:lang w:val="en-US" w:eastAsia="zh-CN"/>
        </w:rPr>
        <w:t>44号）。</w:t>
      </w:r>
    </w:p>
    <w:p>
      <w:pPr>
        <w:adjustRightInd w:val="0"/>
        <w:snapToGrid w:val="0"/>
        <w:spacing w:line="600" w:lineRule="exact"/>
        <w:rPr>
          <w:rFonts w:hint="default" w:ascii="仿宋_GB2312" w:hAnsi="仿宋" w:eastAsia="仿宋_GB2312"/>
          <w:sz w:val="32"/>
          <w:szCs w:val="32"/>
          <w:lang w:val="en-US" w:eastAsia="zh-CN"/>
        </w:rPr>
      </w:pPr>
      <w:r>
        <w:rPr>
          <w:rFonts w:hint="eastAsia" w:ascii="仿宋_GB2312" w:hAnsi="楷体" w:eastAsia="仿宋_GB2312"/>
          <w:sz w:val="32"/>
          <w:szCs w:val="32"/>
        </w:rPr>
        <w:t>（3）起止时间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2021年1月1日至2023年12月31日。</w:t>
      </w:r>
    </w:p>
    <w:p>
      <w:pPr>
        <w:spacing w:line="600" w:lineRule="exact"/>
        <w:rPr>
          <w:rFonts w:hint="eastAsia" w:ascii="仿宋_GB2312" w:hAnsi="仿宋_GB2312" w:eastAsia="仿宋_GB2312" w:cs="仿宋_GB2312"/>
          <w:bCs/>
          <w:sz w:val="30"/>
          <w:szCs w:val="30"/>
          <w:highlight w:val="none"/>
          <w:lang w:eastAsia="zh-CN"/>
        </w:rPr>
      </w:pPr>
      <w:r>
        <w:rPr>
          <w:rFonts w:hint="eastAsia" w:ascii="仿宋_GB2312" w:hAnsi="楷体" w:eastAsia="仿宋_GB2312"/>
          <w:sz w:val="32"/>
          <w:szCs w:val="32"/>
        </w:rPr>
        <w:t>（4）</w:t>
      </w:r>
      <w:r>
        <w:rPr>
          <w:rFonts w:hint="eastAsia" w:ascii="仿宋_GB2312" w:hAnsi="楷体" w:eastAsia="仿宋_GB2312"/>
          <w:sz w:val="32"/>
          <w:szCs w:val="32"/>
          <w:highlight w:val="none"/>
        </w:rPr>
        <w:t>项目内容</w:t>
      </w: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加强机构编制和人员管理，合理配置编制资源，提升机构编制工作“互联网+政务”服务水平，充实机构编制“大数据”资源，进一步夯实信息资源基础，激活机构编制数据的活力巩固机构改革成果、服务中心工作、提高行政效能，完成全市控编减编工作任务。</w:t>
      </w:r>
    </w:p>
    <w:p>
      <w:pPr>
        <w:adjustRightInd w:val="0"/>
        <w:snapToGrid w:val="0"/>
        <w:spacing w:line="600" w:lineRule="exact"/>
        <w:rPr>
          <w:rFonts w:hint="default" w:ascii="仿宋_GB2312" w:hAnsi="仿宋" w:eastAsia="仿宋_GB2312"/>
          <w:sz w:val="32"/>
          <w:szCs w:val="32"/>
          <w:lang w:val="en-US" w:eastAsia="zh-CN"/>
        </w:rPr>
      </w:pPr>
      <w:r>
        <w:rPr>
          <w:rFonts w:hint="eastAsia" w:ascii="仿宋_GB2312" w:hAnsi="楷体" w:eastAsia="仿宋_GB2312"/>
          <w:sz w:val="32"/>
          <w:szCs w:val="32"/>
        </w:rPr>
        <w:t>（5）年度预算安排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11万元。</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（6）绩效目标和指标</w:t>
      </w:r>
      <w:r>
        <w:rPr>
          <w:rFonts w:hint="eastAsia" w:ascii="仿宋_GB2312" w:hAnsi="楷体" w:eastAsia="仿宋_GB2312"/>
          <w:sz w:val="32"/>
          <w:szCs w:val="32"/>
          <w:lang w:eastAsia="zh-CN"/>
        </w:rPr>
        <w:t>：详见下表。</w:t>
      </w:r>
    </w:p>
    <w:tbl>
      <w:tblPr>
        <w:tblStyle w:val="2"/>
        <w:tblpPr w:leftFromText="180" w:rightFromText="180" w:vertAnchor="text" w:horzAnchor="page" w:tblpX="313" w:tblpY="218"/>
        <w:tblOverlap w:val="never"/>
        <w:tblW w:w="11332" w:type="dxa"/>
        <w:tblInd w:w="0" w:type="dxa"/>
        <w:tblLayout w:type="autofit"/>
        <w:tblCellMar>
          <w:top w:w="0" w:type="dxa"/>
          <w:left w:w="0" w:type="dxa"/>
          <w:bottom w:w="0" w:type="dxa"/>
          <w:right w:w="0" w:type="dxa"/>
        </w:tblCellMar>
      </w:tblPr>
      <w:tblGrid>
        <w:gridCol w:w="1175"/>
        <w:gridCol w:w="962"/>
        <w:gridCol w:w="659"/>
        <w:gridCol w:w="513"/>
        <w:gridCol w:w="1935"/>
        <w:gridCol w:w="383"/>
        <w:gridCol w:w="397"/>
        <w:gridCol w:w="780"/>
        <w:gridCol w:w="428"/>
        <w:gridCol w:w="680"/>
        <w:gridCol w:w="1774"/>
        <w:gridCol w:w="83"/>
        <w:gridCol w:w="781"/>
        <w:gridCol w:w="782"/>
      </w:tblGrid>
      <w:tr>
        <w:tblPrEx>
          <w:tblCellMar>
            <w:top w:w="0" w:type="dxa"/>
            <w:left w:w="0" w:type="dxa"/>
            <w:bottom w:w="0" w:type="dxa"/>
            <w:right w:w="0" w:type="dxa"/>
          </w:tblCellMar>
        </w:tblPrEx>
        <w:trPr>
          <w:trHeight w:val="90" w:hRule="atLeast"/>
        </w:trPr>
        <w:tc>
          <w:tcPr>
            <w:tcW w:w="11332" w:type="dxa"/>
            <w:gridSpan w:val="14"/>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414" w:hRule="atLeast"/>
        </w:trPr>
        <w:tc>
          <w:tcPr>
            <w:tcW w:w="11332" w:type="dxa"/>
            <w:gridSpan w:val="14"/>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（2021年度）</w:t>
            </w:r>
          </w:p>
        </w:tc>
      </w:tr>
      <w:tr>
        <w:tblPrEx>
          <w:tblCellMar>
            <w:top w:w="0" w:type="dxa"/>
            <w:left w:w="0" w:type="dxa"/>
            <w:bottom w:w="0" w:type="dxa"/>
            <w:right w:w="0" w:type="dxa"/>
          </w:tblCellMar>
        </w:tblPrEx>
        <w:trPr>
          <w:trHeight w:val="404" w:hRule="atLeast"/>
        </w:trPr>
        <w:tc>
          <w:tcPr>
            <w:tcW w:w="2796"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8536"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机构编制实名制网上业务办理及控编减编督查工作</w:t>
            </w:r>
          </w:p>
        </w:tc>
      </w:tr>
      <w:tr>
        <w:tblPrEx>
          <w:tblCellMar>
            <w:top w:w="0" w:type="dxa"/>
            <w:left w:w="0" w:type="dxa"/>
            <w:bottom w:w="0" w:type="dxa"/>
            <w:right w:w="0" w:type="dxa"/>
          </w:tblCellMar>
        </w:tblPrEx>
        <w:trPr>
          <w:trHeight w:val="392" w:hRule="atLeast"/>
        </w:trPr>
        <w:tc>
          <w:tcPr>
            <w:tcW w:w="2796"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436"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45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646"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29" w:hRule="atLeast"/>
        </w:trPr>
        <w:tc>
          <w:tcPr>
            <w:tcW w:w="2796"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436"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45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646"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355" w:hRule="atLeast"/>
        </w:trPr>
        <w:tc>
          <w:tcPr>
            <w:tcW w:w="2796" w:type="dxa"/>
            <w:gridSpan w:val="3"/>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83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6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33</w:t>
            </w:r>
            <w:r>
              <w:rPr>
                <w:rFonts w:hint="eastAsia" w:ascii="宋体" w:hAnsi="宋体" w:cs="宋体"/>
                <w:kern w:val="0"/>
                <w:sz w:val="24"/>
              </w:rPr>
              <w:t>　</w:t>
            </w:r>
          </w:p>
        </w:tc>
        <w:tc>
          <w:tcPr>
            <w:tcW w:w="245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646"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11</w:t>
            </w:r>
          </w:p>
        </w:tc>
      </w:tr>
      <w:tr>
        <w:tblPrEx>
          <w:tblCellMar>
            <w:top w:w="0" w:type="dxa"/>
            <w:left w:w="0" w:type="dxa"/>
            <w:bottom w:w="0" w:type="dxa"/>
            <w:right w:w="0" w:type="dxa"/>
          </w:tblCellMar>
        </w:tblPrEx>
        <w:trPr>
          <w:trHeight w:val="392" w:hRule="atLeast"/>
        </w:trPr>
        <w:tc>
          <w:tcPr>
            <w:tcW w:w="2796" w:type="dxa"/>
            <w:gridSpan w:val="3"/>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83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6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33</w:t>
            </w:r>
          </w:p>
        </w:tc>
        <w:tc>
          <w:tcPr>
            <w:tcW w:w="245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646"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11</w:t>
            </w:r>
            <w:r>
              <w:rPr>
                <w:rFonts w:hint="eastAsia" w:ascii="宋体" w:hAnsi="宋体" w:cs="宋体"/>
                <w:kern w:val="0"/>
                <w:sz w:val="24"/>
              </w:rPr>
              <w:t>　</w:t>
            </w:r>
          </w:p>
        </w:tc>
      </w:tr>
      <w:tr>
        <w:tblPrEx>
          <w:tblCellMar>
            <w:top w:w="0" w:type="dxa"/>
            <w:left w:w="0" w:type="dxa"/>
            <w:bottom w:w="0" w:type="dxa"/>
            <w:right w:w="0" w:type="dxa"/>
          </w:tblCellMar>
        </w:tblPrEx>
        <w:trPr>
          <w:trHeight w:val="364" w:hRule="atLeast"/>
        </w:trPr>
        <w:tc>
          <w:tcPr>
            <w:tcW w:w="2796"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831"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605"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454" w:type="dxa"/>
            <w:gridSpan w:val="2"/>
            <w:tcBorders>
              <w:top w:val="single" w:color="auto"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646"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504" w:hRule="atLeast"/>
        </w:trPr>
        <w:tc>
          <w:tcPr>
            <w:tcW w:w="11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629"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452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2181" w:hRule="atLeast"/>
        </w:trPr>
        <w:tc>
          <w:tcPr>
            <w:tcW w:w="117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9" w:type="dxa"/>
            <w:gridSpan w:val="7"/>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加强机构编制和人员管理，合理配置编制资源，提升机构编制工作“互联网+政务”服务水平，充实机构编制“大数据”资源，进一步夯实信息资源基础，激活机构编制数据的活力巩固机构改革成果、服务中心工作、提高行政效能，完成全市控编减编工作任务。</w:t>
            </w:r>
          </w:p>
        </w:tc>
        <w:tc>
          <w:tcPr>
            <w:tcW w:w="4528"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ind w:firstLine="240" w:firstLineChars="10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1：加强机构编制和人员管理，合理配置编制资源，提升机构编制工作“互联网+政务”服务水平，充实机构编制“大数据”资源，进一步夯实信息资源基础，激活机构编制数据的活力巩固机构改革成果、服务中心工作、提高行政效能，完成全市控编减编工作任务。</w:t>
            </w:r>
          </w:p>
        </w:tc>
      </w:tr>
      <w:tr>
        <w:tblPrEx>
          <w:tblCellMar>
            <w:top w:w="0" w:type="dxa"/>
            <w:left w:w="0" w:type="dxa"/>
            <w:bottom w:w="0" w:type="dxa"/>
            <w:right w:w="0" w:type="dxa"/>
          </w:tblCellMar>
        </w:tblPrEx>
        <w:trPr>
          <w:trHeight w:val="90" w:hRule="atLeast"/>
        </w:trPr>
        <w:tc>
          <w:tcPr>
            <w:tcW w:w="11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9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tabs>
                <w:tab w:val="left" w:pos="298"/>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tabs>
                <w:tab w:val="left" w:pos="298"/>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90" w:hRule="atLeast"/>
        </w:trPr>
        <w:tc>
          <w:tcPr>
            <w:tcW w:w="1175" w:type="dxa"/>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72" w:type="dxa"/>
            <w:gridSpan w:val="2"/>
            <w:vMerge w:val="restar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9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指标1：实名制系统培训</w:t>
            </w:r>
          </w:p>
        </w:tc>
        <w:tc>
          <w:tcPr>
            <w:tcW w:w="78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不少于3次</w:t>
            </w:r>
          </w:p>
        </w:tc>
        <w:tc>
          <w:tcPr>
            <w:tcW w:w="7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c>
          <w:tcPr>
            <w:tcW w:w="1108" w:type="dxa"/>
            <w:gridSpan w:val="2"/>
            <w:vMerge w:val="restar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857"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指标1：实名制系统培训</w:t>
            </w:r>
          </w:p>
        </w:tc>
        <w:tc>
          <w:tcPr>
            <w:tcW w:w="78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7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指标2：控编减编专项督查</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不少于3次</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c>
          <w:tcPr>
            <w:tcW w:w="1108"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指标2：控编减编专项督查</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指标1：实名制系统信息维护</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指标1：实名制系统信息维护</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指标1：实名制系统数据更新</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每月</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月初</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指标1：实名制系统更新</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每月</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月初</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9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857"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指标1：优化机关事业单位人员素质</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指标1：：优化机关事业单位人员素质</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指标1：服务中心工作、提高行政效能</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指标1：服务中心工作、提高行政效能</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指标1：机关单位对实名制网上业务及控编减编工作满意度</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指标1：机关单位对实名制网上业务及控编减编工作满意度</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lang w:val="en-US" w:eastAsia="zh-CN"/>
        </w:rPr>
        <w:t>3.</w:t>
      </w:r>
      <w:r>
        <w:rPr>
          <w:rFonts w:hint="eastAsia" w:ascii="仿宋_GB2312" w:hAnsi="楷体" w:eastAsia="仿宋_GB2312"/>
          <w:b/>
          <w:sz w:val="32"/>
          <w:szCs w:val="32"/>
        </w:rPr>
        <w:t>“加快构建权责清单制度体系”项目。</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：加快构建权责清单制度体系。</w:t>
      </w:r>
    </w:p>
    <w:p>
      <w:pPr>
        <w:adjustRightInd w:val="0"/>
        <w:snapToGrid w:val="0"/>
        <w:spacing w:line="600" w:lineRule="exact"/>
        <w:rPr>
          <w:rFonts w:hint="eastAsia" w:ascii="仿宋_GB2312" w:hAnsi="楷体" w:eastAsia="仿宋_GB2312"/>
          <w:sz w:val="32"/>
          <w:szCs w:val="32"/>
          <w:highlight w:val="none"/>
          <w:lang w:eastAsia="zh-CN"/>
        </w:rPr>
      </w:pPr>
      <w:r>
        <w:rPr>
          <w:rFonts w:hint="eastAsia" w:ascii="仿宋_GB2312" w:hAnsi="楷体" w:eastAsia="仿宋_GB2312"/>
          <w:sz w:val="32"/>
          <w:szCs w:val="32"/>
        </w:rPr>
        <w:t>（2）</w:t>
      </w:r>
      <w:r>
        <w:rPr>
          <w:rFonts w:hint="eastAsia" w:ascii="仿宋_GB2312" w:hAnsi="楷体" w:eastAsia="仿宋_GB2312"/>
          <w:sz w:val="32"/>
          <w:szCs w:val="32"/>
          <w:highlight w:val="none"/>
        </w:rPr>
        <w:t>立项依据</w:t>
      </w:r>
      <w:r>
        <w:rPr>
          <w:rFonts w:hint="eastAsia" w:ascii="仿宋_GB2312" w:hAnsi="楷体" w:eastAsia="仿宋_GB2312"/>
          <w:sz w:val="32"/>
          <w:szCs w:val="32"/>
          <w:highlight w:val="none"/>
          <w:lang w:eastAsia="zh-CN"/>
        </w:rPr>
        <w:t>：《关于全面推开县级权责清单中依职权类</w:t>
      </w:r>
    </w:p>
    <w:p>
      <w:pPr>
        <w:adjustRightInd w:val="0"/>
        <w:snapToGrid w:val="0"/>
        <w:spacing w:line="600" w:lineRule="exact"/>
        <w:rPr>
          <w:rFonts w:hint="eastAsia" w:ascii="仿宋_GB2312" w:hAnsi="楷体" w:eastAsia="仿宋_GB2312"/>
          <w:sz w:val="32"/>
          <w:szCs w:val="32"/>
          <w:highlight w:val="none"/>
          <w:lang w:val="en-US" w:eastAsia="zh-CN"/>
        </w:rPr>
      </w:pPr>
      <w:r>
        <w:rPr>
          <w:rFonts w:hint="eastAsia" w:ascii="仿宋_GB2312" w:hAnsi="楷体" w:eastAsia="仿宋_GB2312"/>
          <w:sz w:val="32"/>
          <w:szCs w:val="32"/>
          <w:highlight w:val="none"/>
          <w:lang w:eastAsia="zh-CN"/>
        </w:rPr>
        <w:t>权责事项统一规范的通知》（皖编办〔2020〕98号）、《关于建立省级以上开发区赋权清单制度的通知》（皖编办〔2020〕</w:t>
      </w:r>
      <w:r>
        <w:rPr>
          <w:rFonts w:hint="eastAsia" w:ascii="仿宋_GB2312" w:hAnsi="楷体" w:eastAsia="仿宋_GB2312"/>
          <w:sz w:val="32"/>
          <w:szCs w:val="32"/>
          <w:highlight w:val="none"/>
          <w:lang w:val="en-US" w:eastAsia="zh-CN"/>
        </w:rPr>
        <w:t>142</w:t>
      </w:r>
      <w:r>
        <w:rPr>
          <w:rFonts w:hint="eastAsia" w:ascii="仿宋_GB2312" w:hAnsi="楷体" w:eastAsia="仿宋_GB2312"/>
          <w:sz w:val="32"/>
          <w:szCs w:val="32"/>
          <w:highlight w:val="none"/>
          <w:lang w:eastAsia="zh-CN"/>
        </w:rPr>
        <w:t>号）、《关于开展优化乡镇权责清单厘清县乡职责边界试点工作的通知》（皖编办〔2020〕</w:t>
      </w:r>
      <w:r>
        <w:rPr>
          <w:rFonts w:hint="eastAsia" w:ascii="仿宋_GB2312" w:hAnsi="楷体" w:eastAsia="仿宋_GB2312"/>
          <w:sz w:val="32"/>
          <w:szCs w:val="32"/>
          <w:highlight w:val="none"/>
          <w:lang w:val="en-US" w:eastAsia="zh-CN"/>
        </w:rPr>
        <w:t>164</w:t>
      </w:r>
      <w:r>
        <w:rPr>
          <w:rFonts w:hint="eastAsia" w:ascii="仿宋_GB2312" w:hAnsi="楷体" w:eastAsia="仿宋_GB2312"/>
          <w:sz w:val="32"/>
          <w:szCs w:val="32"/>
          <w:highlight w:val="none"/>
          <w:lang w:eastAsia="zh-CN"/>
        </w:rPr>
        <w:t>号）、关于全面推开市级（含市辖区）权责清单中依职权类权责事项统一规范的通知》（皖编办〔2020〕</w:t>
      </w:r>
      <w:r>
        <w:rPr>
          <w:rFonts w:hint="eastAsia" w:ascii="仿宋_GB2312" w:hAnsi="楷体" w:eastAsia="仿宋_GB2312"/>
          <w:sz w:val="32"/>
          <w:szCs w:val="32"/>
          <w:highlight w:val="none"/>
          <w:lang w:val="en-US" w:eastAsia="zh-CN"/>
        </w:rPr>
        <w:t>189</w:t>
      </w:r>
      <w:r>
        <w:rPr>
          <w:rFonts w:hint="eastAsia" w:ascii="仿宋_GB2312" w:hAnsi="楷体" w:eastAsia="仿宋_GB2312"/>
          <w:sz w:val="32"/>
          <w:szCs w:val="32"/>
          <w:highlight w:val="none"/>
          <w:lang w:eastAsia="zh-CN"/>
        </w:rPr>
        <w:t>号）。</w:t>
      </w:r>
    </w:p>
    <w:p>
      <w:pPr>
        <w:adjustRightInd w:val="0"/>
        <w:snapToGrid w:val="0"/>
        <w:spacing w:line="600" w:lineRule="exact"/>
        <w:rPr>
          <w:rFonts w:hint="default" w:ascii="仿宋_GB2312" w:hAnsi="仿宋" w:eastAsia="仿宋_GB2312"/>
          <w:sz w:val="32"/>
          <w:szCs w:val="32"/>
          <w:lang w:val="en-US" w:eastAsia="zh-CN"/>
        </w:rPr>
      </w:pPr>
      <w:r>
        <w:rPr>
          <w:rFonts w:hint="eastAsia" w:ascii="仿宋_GB2312" w:hAnsi="楷体" w:eastAsia="仿宋_GB2312"/>
          <w:sz w:val="32"/>
          <w:szCs w:val="32"/>
        </w:rPr>
        <w:t>（3）起止时间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2021年1月1日至2023年12月31日。</w:t>
      </w:r>
    </w:p>
    <w:p>
      <w:pPr>
        <w:spacing w:line="600" w:lineRule="exact"/>
        <w:rPr>
          <w:rFonts w:hint="eastAsia" w:ascii="仿宋_GB2312" w:hAnsi="仿宋_GB2312" w:eastAsia="仿宋_GB2312" w:cs="仿宋_GB2312"/>
          <w:bCs/>
          <w:sz w:val="30"/>
          <w:szCs w:val="30"/>
          <w:highlight w:val="none"/>
          <w:lang w:eastAsia="zh-CN"/>
        </w:rPr>
      </w:pPr>
      <w:r>
        <w:rPr>
          <w:rFonts w:hint="eastAsia" w:ascii="仿宋_GB2312" w:hAnsi="楷体" w:eastAsia="仿宋_GB2312"/>
          <w:sz w:val="32"/>
          <w:szCs w:val="32"/>
        </w:rPr>
        <w:t>（4）</w:t>
      </w:r>
      <w:r>
        <w:rPr>
          <w:rFonts w:hint="eastAsia" w:ascii="仿宋_GB2312" w:hAnsi="楷体" w:eastAsia="仿宋_GB2312"/>
          <w:sz w:val="32"/>
          <w:szCs w:val="32"/>
          <w:highlight w:val="none"/>
        </w:rPr>
        <w:t>项目内容</w:t>
      </w: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对市级权责清单中依职权类权力事项进行统一规范；指导各县区制定出台权责清单动态调整管理办法并监督实施；健全完善市级清单和县区级清单联动机制，建立“全市一单”权责清单制度体系。</w:t>
      </w:r>
    </w:p>
    <w:p>
      <w:pPr>
        <w:adjustRightInd w:val="0"/>
        <w:snapToGrid w:val="0"/>
        <w:spacing w:line="600" w:lineRule="exact"/>
        <w:rPr>
          <w:rFonts w:hint="default" w:ascii="仿宋_GB2312" w:hAnsi="楷体" w:eastAsia="仿宋_GB2312"/>
          <w:sz w:val="32"/>
          <w:szCs w:val="32"/>
          <w:lang w:val="en-US" w:eastAsia="zh-CN"/>
        </w:rPr>
      </w:pPr>
      <w:r>
        <w:rPr>
          <w:rFonts w:hint="eastAsia" w:ascii="仿宋_GB2312" w:hAnsi="楷体" w:eastAsia="仿宋_GB2312"/>
          <w:sz w:val="32"/>
          <w:szCs w:val="32"/>
        </w:rPr>
        <w:t>（5）年度预算安排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20万元。</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（6）绩效目标和指标</w:t>
      </w:r>
      <w:r>
        <w:rPr>
          <w:rFonts w:hint="eastAsia" w:ascii="仿宋_GB2312" w:hAnsi="楷体" w:eastAsia="仿宋_GB2312"/>
          <w:sz w:val="32"/>
          <w:szCs w:val="32"/>
          <w:lang w:eastAsia="zh-CN"/>
        </w:rPr>
        <w:t>：详见下表。</w:t>
      </w:r>
    </w:p>
    <w:tbl>
      <w:tblPr>
        <w:tblStyle w:val="2"/>
        <w:tblpPr w:leftFromText="180" w:rightFromText="180" w:vertAnchor="text" w:horzAnchor="page" w:tblpX="125" w:tblpY="730"/>
        <w:tblOverlap w:val="never"/>
        <w:tblW w:w="11664" w:type="dxa"/>
        <w:tblInd w:w="0" w:type="dxa"/>
        <w:tblLayout w:type="autofit"/>
        <w:tblCellMar>
          <w:top w:w="0" w:type="dxa"/>
          <w:left w:w="0" w:type="dxa"/>
          <w:bottom w:w="0" w:type="dxa"/>
          <w:right w:w="0" w:type="dxa"/>
        </w:tblCellMar>
      </w:tblPr>
      <w:tblGrid>
        <w:gridCol w:w="574"/>
        <w:gridCol w:w="91"/>
        <w:gridCol w:w="483"/>
        <w:gridCol w:w="267"/>
        <w:gridCol w:w="893"/>
        <w:gridCol w:w="26"/>
        <w:gridCol w:w="2259"/>
        <w:gridCol w:w="449"/>
        <w:gridCol w:w="471"/>
        <w:gridCol w:w="496"/>
        <w:gridCol w:w="425"/>
        <w:gridCol w:w="504"/>
        <w:gridCol w:w="656"/>
        <w:gridCol w:w="734"/>
        <w:gridCol w:w="1510"/>
        <w:gridCol w:w="99"/>
        <w:gridCol w:w="777"/>
        <w:gridCol w:w="91"/>
        <w:gridCol w:w="859"/>
      </w:tblGrid>
      <w:tr>
        <w:tblPrEx>
          <w:tblCellMar>
            <w:top w:w="0" w:type="dxa"/>
            <w:left w:w="0" w:type="dxa"/>
            <w:bottom w:w="0" w:type="dxa"/>
            <w:right w:w="0" w:type="dxa"/>
          </w:tblCellMar>
        </w:tblPrEx>
        <w:trPr>
          <w:trHeight w:val="639" w:hRule="atLeast"/>
        </w:trPr>
        <w:tc>
          <w:tcPr>
            <w:tcW w:w="11664"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27" w:hRule="atLeast"/>
        </w:trPr>
        <w:tc>
          <w:tcPr>
            <w:tcW w:w="11664"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（2021年度）</w:t>
            </w:r>
          </w:p>
        </w:tc>
      </w:tr>
      <w:tr>
        <w:tblPrEx>
          <w:tblCellMar>
            <w:top w:w="0" w:type="dxa"/>
            <w:left w:w="0" w:type="dxa"/>
            <w:bottom w:w="0" w:type="dxa"/>
            <w:right w:w="0" w:type="dxa"/>
          </w:tblCellMar>
        </w:tblPrEx>
        <w:trPr>
          <w:trHeight w:val="386" w:hRule="atLeast"/>
        </w:trPr>
        <w:tc>
          <w:tcPr>
            <w:tcW w:w="665"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50"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1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2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90"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10"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3"/>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859" w:type="dxa"/>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08"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33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加快构建权责清单制度体系</w:t>
            </w:r>
          </w:p>
        </w:tc>
      </w:tr>
      <w:tr>
        <w:tblPrEx>
          <w:tblCellMar>
            <w:top w:w="0" w:type="dxa"/>
            <w:left w:w="0" w:type="dxa"/>
            <w:bottom w:w="0" w:type="dxa"/>
            <w:right w:w="0" w:type="dxa"/>
          </w:tblCellMar>
        </w:tblPrEx>
        <w:trPr>
          <w:trHeight w:val="408"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08"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w:t>
            </w:r>
            <w:r>
              <w:rPr>
                <w:rFonts w:hint="eastAsia" w:ascii="宋体" w:hAnsi="宋体" w:cs="宋体"/>
                <w:kern w:val="0"/>
                <w:sz w:val="24"/>
              </w:rPr>
              <w:sym w:font="Wingdings 2" w:char="0052"/>
            </w:r>
            <w:r>
              <w:rPr>
                <w:rFonts w:hint="eastAsia" w:ascii="宋体" w:hAnsi="宋体" w:cs="宋体"/>
                <w:kern w:val="0"/>
                <w:sz w:val="24"/>
              </w:rPr>
              <w:t xml:space="preserve">新增项目     </w:t>
            </w:r>
            <w:r>
              <w:rPr>
                <w:rFonts w:hint="eastAsia" w:ascii="宋体" w:hAnsi="宋体" w:cs="宋体"/>
                <w:kern w:val="0"/>
                <w:sz w:val="24"/>
              </w:rPr>
              <w:sym w:font="Wingdings 2" w:char="00A3"/>
            </w:r>
            <w:r>
              <w:rPr>
                <w:rFonts w:hint="eastAsia" w:ascii="宋体" w:hAnsi="宋体" w:cs="宋体"/>
                <w:kern w:val="0"/>
                <w:sz w:val="24"/>
              </w:rPr>
              <w:t>延续项目</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08" w:hRule="atLeast"/>
        </w:trPr>
        <w:tc>
          <w:tcPr>
            <w:tcW w:w="2334"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60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20</w:t>
            </w:r>
          </w:p>
        </w:tc>
      </w:tr>
      <w:tr>
        <w:tblPrEx>
          <w:tblCellMar>
            <w:top w:w="0" w:type="dxa"/>
            <w:left w:w="0" w:type="dxa"/>
            <w:bottom w:w="0" w:type="dxa"/>
            <w:right w:w="0" w:type="dxa"/>
          </w:tblCellMar>
        </w:tblPrEx>
        <w:trPr>
          <w:trHeight w:val="408"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60</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20</w:t>
            </w:r>
          </w:p>
        </w:tc>
      </w:tr>
      <w:tr>
        <w:tblPrEx>
          <w:tblCellMar>
            <w:top w:w="0" w:type="dxa"/>
            <w:left w:w="0" w:type="dxa"/>
            <w:bottom w:w="0" w:type="dxa"/>
            <w:right w:w="0" w:type="dxa"/>
          </w:tblCellMar>
        </w:tblPrEx>
        <w:trPr>
          <w:trHeight w:val="408"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08"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w:t>
            </w:r>
            <w:r>
              <w:rPr>
                <w:rStyle w:val="4"/>
                <w:lang w:val="en-US" w:eastAsia="zh-CN" w:bidi="ar"/>
              </w:rPr>
              <w:t>21年—2023年）</w:t>
            </w:r>
          </w:p>
        </w:tc>
        <w:tc>
          <w:tcPr>
            <w:tcW w:w="523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220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目标1：对市级权责清单中依职权类权力事项进行统一规范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目标2：指导各县区制定出台权责清单动态调整管理办法并监督实施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目标3：健全完善市级清单和县区级清单联动机制，建立“全市一单”权责清单制度体系</w:t>
            </w:r>
          </w:p>
        </w:tc>
        <w:tc>
          <w:tcPr>
            <w:tcW w:w="523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目标1：对市级权责清单中依职权类权责事项进行统一规范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目标2：指导各县区制定出台权责清单动态调整管理办法并监督实施</w:t>
            </w:r>
          </w:p>
        </w:tc>
      </w:tr>
      <w:tr>
        <w:tblPrEx>
          <w:tblCellMar>
            <w:top w:w="0" w:type="dxa"/>
            <w:left w:w="0" w:type="dxa"/>
            <w:bottom w:w="0" w:type="dxa"/>
            <w:right w:w="0" w:type="dxa"/>
          </w:tblCellMar>
        </w:tblPrEx>
        <w:trPr>
          <w:trHeight w:val="649"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28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92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92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43"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95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1272"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指标1：采取集中办公的方式对市级权责清单中依职权类权力事项进行统一调整</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每年不少于1次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c>
          <w:tcPr>
            <w:tcW w:w="116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指标1：采取集中办公的方式对市级权责清单中依职权类权力事项进行统一调整</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1272"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指标2：对权责清单进行即时更新，召开相关审核会议</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每年不少于3次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指标2：对权责清单进行即时更新，召开相关审核会议不少于</w:t>
            </w:r>
            <w:r>
              <w:rPr>
                <w:rStyle w:val="4"/>
                <w:lang w:val="en-US" w:eastAsia="zh-CN" w:bidi="ar"/>
              </w:rPr>
              <w:t>4次</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不少于3次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r>
      <w:tr>
        <w:tblPrEx>
          <w:tblCellMar>
            <w:top w:w="0" w:type="dxa"/>
            <w:left w:w="0" w:type="dxa"/>
            <w:bottom w:w="0" w:type="dxa"/>
            <w:right w:w="0" w:type="dxa"/>
          </w:tblCellMar>
        </w:tblPrEx>
        <w:trPr>
          <w:trHeight w:val="961"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指标3：召开市县区权责清单动态调整联动机制座谈会</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每年不少于2次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w:t>
            </w: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指标3：召开市县区权责清单动态调整联动机制座谈会</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不少于2次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w:t>
            </w: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指标4：开展相关调研</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每年不少于1次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指标4：开展相关调研</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指标1：对权责清单进行即时更新</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更新</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指标1：对权责清单进行即时更新</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更新</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584"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指标2：按省委编办要求的时限，完成市级权责清单中依职权类权力事项统一规范任务</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指标2：按省委编办要求的时限，完成市级权责清单中依职权类权力事项统一规范任务</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8"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28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343"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指标1：提升营商环境</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指标1：提升营商环境</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61"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71"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指标1：市场主体及公众满意度</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指标1：市场主体及公众满意度</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lang w:val="en-US" w:eastAsia="zh-CN"/>
        </w:rPr>
        <w:t>4.</w:t>
      </w:r>
      <w:r>
        <w:rPr>
          <w:rFonts w:hint="eastAsia" w:ascii="仿宋_GB2312" w:hAnsi="楷体" w:eastAsia="仿宋_GB2312"/>
          <w:b/>
          <w:sz w:val="32"/>
          <w:szCs w:val="32"/>
        </w:rPr>
        <w:t>“深化事业单位改革”项目。</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：深化事业单位改革。</w:t>
      </w:r>
    </w:p>
    <w:p>
      <w:pPr>
        <w:spacing w:line="600" w:lineRule="exact"/>
        <w:rPr>
          <w:rFonts w:hint="eastAsia" w:ascii="仿宋_GB2312" w:hAnsi="楷体" w:eastAsia="仿宋_GB2312"/>
          <w:sz w:val="32"/>
          <w:szCs w:val="32"/>
          <w:highlight w:val="yellow"/>
          <w:u w:val="single"/>
          <w:lang w:eastAsia="zh-CN"/>
        </w:rPr>
      </w:pPr>
      <w:r>
        <w:rPr>
          <w:rFonts w:hint="eastAsia" w:ascii="仿宋_GB2312" w:hAnsi="楷体" w:eastAsia="仿宋_GB2312"/>
          <w:sz w:val="32"/>
          <w:szCs w:val="32"/>
        </w:rPr>
        <w:t>（2）</w:t>
      </w:r>
      <w:r>
        <w:rPr>
          <w:rFonts w:hint="eastAsia" w:ascii="仿宋_GB2312" w:hAnsi="楷体" w:eastAsia="仿宋_GB2312"/>
          <w:sz w:val="32"/>
          <w:szCs w:val="32"/>
          <w:highlight w:val="none"/>
        </w:rPr>
        <w:t>立项依据</w:t>
      </w:r>
      <w:r>
        <w:rPr>
          <w:rFonts w:hint="eastAsia" w:ascii="仿宋_GB2312" w:hAnsi="楷体" w:eastAsia="仿宋_GB2312"/>
          <w:sz w:val="32"/>
          <w:szCs w:val="32"/>
          <w:highlight w:val="none"/>
          <w:lang w:eastAsia="zh-CN"/>
        </w:rPr>
        <w:t>：《关于在市县机构改革中做好事业单位调整工作的通知》（皖编办</w:t>
      </w:r>
      <w:r>
        <w:rPr>
          <w:rFonts w:hint="eastAsia" w:ascii="仿宋_GB2312" w:eastAsia="仿宋_GB2312"/>
          <w:sz w:val="32"/>
        </w:rPr>
        <w:t>〔</w:t>
      </w:r>
      <w:r>
        <w:rPr>
          <w:rFonts w:hint="eastAsia" w:ascii="仿宋_GB2312" w:eastAsia="仿宋_GB2312"/>
          <w:sz w:val="32"/>
          <w:lang w:val="en-US" w:eastAsia="zh-CN"/>
        </w:rPr>
        <w:t>2019</w:t>
      </w:r>
      <w:r>
        <w:rPr>
          <w:rFonts w:hint="eastAsia" w:ascii="仿宋_GB2312" w:eastAsia="仿宋_GB2312"/>
          <w:sz w:val="32"/>
        </w:rPr>
        <w:t>〕</w:t>
      </w:r>
      <w:r>
        <w:rPr>
          <w:rFonts w:hint="eastAsia" w:ascii="仿宋_GB2312" w:eastAsia="仿宋_GB2312"/>
          <w:sz w:val="32"/>
          <w:lang w:val="en-US" w:eastAsia="zh-CN"/>
        </w:rPr>
        <w:t>6号）。</w:t>
      </w:r>
    </w:p>
    <w:p>
      <w:pPr>
        <w:adjustRightInd w:val="0"/>
        <w:snapToGrid w:val="0"/>
        <w:spacing w:line="600" w:lineRule="exact"/>
        <w:rPr>
          <w:rFonts w:hint="default" w:ascii="仿宋_GB2312" w:hAnsi="仿宋" w:eastAsia="仿宋_GB2312"/>
          <w:sz w:val="32"/>
          <w:szCs w:val="32"/>
          <w:lang w:val="en-US" w:eastAsia="zh-CN"/>
        </w:rPr>
      </w:pPr>
      <w:r>
        <w:rPr>
          <w:rFonts w:hint="eastAsia" w:ascii="仿宋_GB2312" w:hAnsi="楷体" w:eastAsia="仿宋_GB2312"/>
          <w:sz w:val="32"/>
          <w:szCs w:val="32"/>
        </w:rPr>
        <w:t>（3）起止时间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2021年1月1日至2023年12月31日。</w:t>
      </w:r>
    </w:p>
    <w:p>
      <w:pPr>
        <w:spacing w:line="600" w:lineRule="exact"/>
        <w:rPr>
          <w:rFonts w:hint="eastAsia" w:ascii="仿宋_GB2312" w:hAnsi="仿宋_GB2312" w:eastAsia="仿宋_GB2312" w:cs="仿宋_GB2312"/>
          <w:bCs/>
          <w:sz w:val="30"/>
          <w:szCs w:val="30"/>
          <w:highlight w:val="none"/>
          <w:lang w:eastAsia="zh-CN"/>
        </w:rPr>
      </w:pPr>
      <w:r>
        <w:rPr>
          <w:rFonts w:hint="eastAsia" w:ascii="仿宋_GB2312" w:hAnsi="楷体" w:eastAsia="仿宋_GB2312"/>
          <w:sz w:val="32"/>
          <w:szCs w:val="32"/>
        </w:rPr>
        <w:t>（4）</w:t>
      </w:r>
      <w:r>
        <w:rPr>
          <w:rFonts w:hint="eastAsia" w:ascii="仿宋_GB2312" w:hAnsi="楷体" w:eastAsia="仿宋_GB2312"/>
          <w:sz w:val="32"/>
          <w:szCs w:val="32"/>
          <w:highlight w:val="none"/>
        </w:rPr>
        <w:t>项目内容</w:t>
      </w: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巩固深化承担行政职能事业单位改革，进一步梳理事业单位承担的行政职能；持续推进事业单位优化整合，加大“小、弱、散”事业单位的优化整合力度，精简压缩事业单位规模；优化事业单位机构设置，提高事业编制使用效率。</w:t>
      </w:r>
    </w:p>
    <w:p>
      <w:pPr>
        <w:adjustRightInd w:val="0"/>
        <w:snapToGrid w:val="0"/>
        <w:spacing w:line="600" w:lineRule="exact"/>
        <w:rPr>
          <w:rFonts w:hint="default" w:ascii="仿宋_GB2312" w:hAnsi="楷体" w:eastAsia="仿宋_GB2312"/>
          <w:sz w:val="32"/>
          <w:szCs w:val="32"/>
          <w:lang w:val="en-US" w:eastAsia="zh-CN"/>
        </w:rPr>
      </w:pPr>
      <w:r>
        <w:rPr>
          <w:rFonts w:hint="eastAsia" w:ascii="仿宋_GB2312" w:hAnsi="楷体" w:eastAsia="仿宋_GB2312"/>
          <w:sz w:val="32"/>
          <w:szCs w:val="32"/>
        </w:rPr>
        <w:t>（5）年度预算安排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10万元。</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（6）绩效目标和指标</w:t>
      </w:r>
      <w:r>
        <w:rPr>
          <w:rFonts w:hint="eastAsia" w:ascii="仿宋_GB2312" w:hAnsi="楷体" w:eastAsia="仿宋_GB2312"/>
          <w:sz w:val="32"/>
          <w:szCs w:val="32"/>
          <w:lang w:eastAsia="zh-CN"/>
        </w:rPr>
        <w:t>：详见下表。</w:t>
      </w:r>
    </w:p>
    <w:p>
      <w:pPr>
        <w:adjustRightInd w:val="0"/>
        <w:snapToGrid w:val="0"/>
        <w:spacing w:line="600" w:lineRule="exact"/>
        <w:rPr>
          <w:rFonts w:hint="eastAsia" w:ascii="仿宋_GB2312" w:hAnsi="楷体" w:eastAsia="仿宋_GB2312"/>
          <w:sz w:val="32"/>
          <w:szCs w:val="32"/>
          <w:lang w:eastAsia="zh-CN"/>
        </w:rPr>
      </w:pPr>
    </w:p>
    <w:tbl>
      <w:tblPr>
        <w:tblStyle w:val="2"/>
        <w:tblpPr w:leftFromText="180" w:rightFromText="180" w:vertAnchor="text" w:horzAnchor="page" w:tblpX="125" w:tblpY="364"/>
        <w:tblOverlap w:val="never"/>
        <w:tblW w:w="11780" w:type="dxa"/>
        <w:tblInd w:w="0" w:type="dxa"/>
        <w:tblLayout w:type="autofit"/>
        <w:tblCellMar>
          <w:top w:w="0" w:type="dxa"/>
          <w:left w:w="0" w:type="dxa"/>
          <w:bottom w:w="0" w:type="dxa"/>
          <w:right w:w="0" w:type="dxa"/>
        </w:tblCellMar>
      </w:tblPr>
      <w:tblGrid>
        <w:gridCol w:w="574"/>
        <w:gridCol w:w="91"/>
        <w:gridCol w:w="483"/>
        <w:gridCol w:w="267"/>
        <w:gridCol w:w="893"/>
        <w:gridCol w:w="26"/>
        <w:gridCol w:w="2259"/>
        <w:gridCol w:w="449"/>
        <w:gridCol w:w="334"/>
        <w:gridCol w:w="633"/>
        <w:gridCol w:w="425"/>
        <w:gridCol w:w="504"/>
        <w:gridCol w:w="656"/>
        <w:gridCol w:w="734"/>
        <w:gridCol w:w="1510"/>
        <w:gridCol w:w="99"/>
        <w:gridCol w:w="802"/>
        <w:gridCol w:w="1041"/>
      </w:tblGrid>
      <w:tr>
        <w:tblPrEx>
          <w:tblCellMar>
            <w:top w:w="0" w:type="dxa"/>
            <w:left w:w="0" w:type="dxa"/>
            <w:bottom w:w="0" w:type="dxa"/>
            <w:right w:w="0" w:type="dxa"/>
          </w:tblCellMar>
        </w:tblPrEx>
        <w:trPr>
          <w:trHeight w:val="646"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07"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（2021年度）</w:t>
            </w:r>
          </w:p>
        </w:tc>
      </w:tr>
      <w:tr>
        <w:tblPrEx>
          <w:tblCellMar>
            <w:top w:w="0" w:type="dxa"/>
            <w:left w:w="0" w:type="dxa"/>
            <w:bottom w:w="0" w:type="dxa"/>
            <w:right w:w="0" w:type="dxa"/>
          </w:tblCellMar>
        </w:tblPrEx>
        <w:trPr>
          <w:trHeight w:val="422" w:hRule="atLeast"/>
        </w:trPr>
        <w:tc>
          <w:tcPr>
            <w:tcW w:w="665"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50"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1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2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90"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10"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01"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041" w:type="dxa"/>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35"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446"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深化事业单位改革</w:t>
            </w:r>
          </w:p>
        </w:tc>
      </w:tr>
      <w:tr>
        <w:tblPrEx>
          <w:tblCellMar>
            <w:top w:w="0" w:type="dxa"/>
            <w:left w:w="0" w:type="dxa"/>
            <w:bottom w:w="0" w:type="dxa"/>
            <w:right w:w="0" w:type="dxa"/>
          </w:tblCellMar>
        </w:tblPrEx>
        <w:trPr>
          <w:trHeight w:val="435"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35"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35" w:hRule="atLeast"/>
        </w:trPr>
        <w:tc>
          <w:tcPr>
            <w:tcW w:w="2334"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30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10</w:t>
            </w:r>
          </w:p>
        </w:tc>
      </w:tr>
      <w:tr>
        <w:tblPrEx>
          <w:tblCellMar>
            <w:top w:w="0" w:type="dxa"/>
            <w:left w:w="0" w:type="dxa"/>
            <w:bottom w:w="0" w:type="dxa"/>
            <w:right w:w="0" w:type="dxa"/>
          </w:tblCellMar>
        </w:tblPrEx>
        <w:trPr>
          <w:trHeight w:val="435"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30</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10</w:t>
            </w:r>
          </w:p>
        </w:tc>
      </w:tr>
      <w:tr>
        <w:tblPrEx>
          <w:tblCellMar>
            <w:top w:w="0" w:type="dxa"/>
            <w:left w:w="0" w:type="dxa"/>
            <w:bottom w:w="0" w:type="dxa"/>
            <w:right w:w="0" w:type="dxa"/>
          </w:tblCellMar>
        </w:tblPrEx>
        <w:trPr>
          <w:trHeight w:val="435"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35"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534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159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目标1：巩固深化承担行政职能事业单位改革，进一步梳理事业单位承担的行政职能。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目标2：持续推进事业单位优化整合，加大“小、弱、散”事业单位的优化整合力度，精简压缩事业单位规模。</w:t>
            </w:r>
          </w:p>
        </w:tc>
        <w:tc>
          <w:tcPr>
            <w:tcW w:w="534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目标1：实现行政职能回归行政机构、事业单位强化公益服务目标。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目标2：优化事业单位机构设置，提高事业编制使用效率。</w:t>
            </w:r>
          </w:p>
        </w:tc>
      </w:tr>
      <w:tr>
        <w:tblPrEx>
          <w:tblCellMar>
            <w:top w:w="0" w:type="dxa"/>
            <w:left w:w="0" w:type="dxa"/>
            <w:bottom w:w="0" w:type="dxa"/>
            <w:right w:w="0" w:type="dxa"/>
          </w:tblCellMar>
        </w:tblPrEx>
        <w:trPr>
          <w:trHeight w:val="608"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绩效标准</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绩效标准</w:t>
            </w:r>
          </w:p>
        </w:tc>
      </w:tr>
      <w:tr>
        <w:tblPrEx>
          <w:tblCellMar>
            <w:top w:w="0" w:type="dxa"/>
            <w:left w:w="0" w:type="dxa"/>
            <w:bottom w:w="0" w:type="dxa"/>
            <w:right w:w="0" w:type="dxa"/>
          </w:tblCellMar>
        </w:tblPrEx>
        <w:trPr>
          <w:trHeight w:val="608"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指标1：事业单位承担的行政职能回归局机关</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指标1：事业单位承担的行政职能回归局机关</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824"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指标1：对冠以“委、办、局”命名事业单位予以更名</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指标1：对冠以“委、办、局”命名事业单位予以更名</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8"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指标1：在规定时间内完成各项改革任务</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指标1：在规定时间内完成各项改革任务</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54"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指标1：制定事业单位“三定”规定</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指标1：制定事业单位“三定”规定</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3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指标1：精简压缩事业单位规模，减少财政供给人员</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指标1：精简压缩事业单位规模，减少财政供给人员</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56"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指标1：调动文教卫等各领域人员积极性创造性</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指标1：调动文教卫等各领域人员积极性创造性</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96"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指标1：提高生态环境保护监察监测能力建设</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指标1：完成县区生态环境保护事业单位上收</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84"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指标1：完善事业单位管理体制</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完善</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指标1：提高事业单位运行效率</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2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指标2：推进事业单位调整优化</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指标2：推进事业单位调整优化</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1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指标1：公众满意度</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指标1：事业单位人员满意度</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lang w:val="en-US" w:eastAsia="zh-CN"/>
        </w:rPr>
        <w:t>5.</w:t>
      </w:r>
      <w:r>
        <w:rPr>
          <w:rFonts w:hint="eastAsia" w:ascii="仿宋_GB2312" w:hAnsi="楷体" w:eastAsia="仿宋_GB2312"/>
          <w:b/>
          <w:sz w:val="32"/>
          <w:szCs w:val="32"/>
        </w:rPr>
        <w:t>“中文域名注册管理工作”项目。</w:t>
      </w:r>
    </w:p>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：中文域名注册管理工作。</w:t>
      </w:r>
    </w:p>
    <w:p>
      <w:pPr>
        <w:spacing w:line="600" w:lineRule="exact"/>
        <w:rPr>
          <w:rFonts w:hint="default" w:ascii="仿宋_GB2312" w:hAnsi="楷体" w:eastAsia="仿宋"/>
          <w:sz w:val="32"/>
          <w:szCs w:val="32"/>
          <w:highlight w:val="none"/>
          <w:u w:val="single"/>
          <w:lang w:val="en-US" w:eastAsia="zh-CN"/>
        </w:rPr>
      </w:pPr>
      <w:r>
        <w:rPr>
          <w:rFonts w:hint="eastAsia" w:ascii="仿宋_GB2312" w:hAnsi="楷体" w:eastAsia="仿宋_GB2312"/>
          <w:sz w:val="32"/>
          <w:szCs w:val="32"/>
        </w:rPr>
        <w:t>（2）</w:t>
      </w:r>
      <w:r>
        <w:rPr>
          <w:rFonts w:hint="eastAsia" w:ascii="仿宋_GB2312" w:hAnsi="楷体" w:eastAsia="仿宋_GB2312"/>
          <w:sz w:val="32"/>
          <w:szCs w:val="32"/>
          <w:highlight w:val="none"/>
        </w:rPr>
        <w:t>立项依据</w:t>
      </w:r>
      <w:r>
        <w:rPr>
          <w:rFonts w:hint="eastAsia" w:ascii="仿宋_GB2312" w:hAnsi="楷体" w:eastAsia="仿宋_GB2312"/>
          <w:sz w:val="32"/>
          <w:szCs w:val="32"/>
          <w:highlight w:val="none"/>
          <w:lang w:eastAsia="zh-CN"/>
        </w:rPr>
        <w:t>：《转发中央编办、中央网信办关于做好党政机关网站开办审核、资格复核和网站标识管理工作的通知》（皖编办</w:t>
      </w:r>
      <w:r>
        <w:rPr>
          <w:rFonts w:hint="eastAsia" w:ascii="仿宋" w:hAnsi="仿宋" w:eastAsia="仿宋" w:cs="仿宋"/>
          <w:sz w:val="32"/>
          <w:highlight w:val="none"/>
        </w:rPr>
        <w:t>〔2</w:t>
      </w:r>
      <w:r>
        <w:rPr>
          <w:rFonts w:hint="eastAsia" w:ascii="仿宋" w:hAnsi="仿宋" w:eastAsia="仿宋" w:cs="仿宋"/>
          <w:sz w:val="32"/>
          <w:highlight w:val="none"/>
          <w:lang w:val="en-US" w:eastAsia="zh-CN"/>
        </w:rPr>
        <w:t>014</w:t>
      </w:r>
      <w:r>
        <w:rPr>
          <w:rFonts w:hint="eastAsia" w:ascii="仿宋" w:hAnsi="仿宋" w:eastAsia="仿宋" w:cs="仿宋"/>
          <w:sz w:val="32"/>
          <w:highlight w:val="none"/>
        </w:rPr>
        <w:t>〕</w:t>
      </w:r>
      <w:r>
        <w:rPr>
          <w:rFonts w:hint="eastAsia" w:ascii="仿宋" w:hAnsi="仿宋" w:eastAsia="仿宋" w:cs="仿宋"/>
          <w:sz w:val="32"/>
          <w:highlight w:val="none"/>
          <w:lang w:val="en-US" w:eastAsia="zh-CN"/>
        </w:rPr>
        <w:t>117号）。</w:t>
      </w:r>
    </w:p>
    <w:p>
      <w:pPr>
        <w:adjustRightInd w:val="0"/>
        <w:snapToGrid w:val="0"/>
        <w:spacing w:line="600" w:lineRule="exact"/>
        <w:rPr>
          <w:rFonts w:hint="default" w:ascii="仿宋_GB2312" w:hAnsi="仿宋" w:eastAsia="仿宋_GB2312"/>
          <w:sz w:val="32"/>
          <w:szCs w:val="32"/>
          <w:lang w:val="en-US" w:eastAsia="zh-CN"/>
        </w:rPr>
      </w:pPr>
      <w:r>
        <w:rPr>
          <w:rFonts w:hint="eastAsia" w:ascii="仿宋_GB2312" w:hAnsi="楷体" w:eastAsia="仿宋_GB2312"/>
          <w:sz w:val="32"/>
          <w:szCs w:val="32"/>
        </w:rPr>
        <w:t>（3）起止时间</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2021年1月1日至2023年12月31日。</w:t>
      </w:r>
    </w:p>
    <w:p>
      <w:pPr>
        <w:spacing w:line="600" w:lineRule="exact"/>
        <w:rPr>
          <w:rFonts w:hint="eastAsia" w:ascii="仿宋_GB2312" w:hAnsi="仿宋_GB2312" w:eastAsia="仿宋_GB2312" w:cs="仿宋_GB2312"/>
          <w:bCs/>
          <w:sz w:val="30"/>
          <w:szCs w:val="30"/>
          <w:highlight w:val="none"/>
          <w:lang w:eastAsia="zh-CN"/>
        </w:rPr>
      </w:pPr>
      <w:r>
        <w:rPr>
          <w:rFonts w:hint="eastAsia" w:ascii="仿宋_GB2312" w:hAnsi="楷体" w:eastAsia="仿宋_GB2312"/>
          <w:sz w:val="32"/>
          <w:szCs w:val="32"/>
        </w:rPr>
        <w:t>（4）</w:t>
      </w:r>
      <w:r>
        <w:rPr>
          <w:rFonts w:hint="eastAsia" w:ascii="仿宋_GB2312" w:hAnsi="楷体" w:eastAsia="仿宋_GB2312"/>
          <w:sz w:val="32"/>
          <w:szCs w:val="32"/>
          <w:highlight w:val="none"/>
        </w:rPr>
        <w:t>项目内容</w:t>
      </w: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市直机关事业单位中文域名全覆盖。</w:t>
      </w:r>
    </w:p>
    <w:p>
      <w:pPr>
        <w:adjustRightInd w:val="0"/>
        <w:snapToGrid w:val="0"/>
        <w:spacing w:line="600" w:lineRule="exact"/>
        <w:rPr>
          <w:rFonts w:hint="eastAsia" w:ascii="仿宋_GB2312" w:hAnsi="楷体" w:eastAsia="仿宋_GB2312"/>
          <w:sz w:val="32"/>
          <w:szCs w:val="32"/>
          <w:lang w:val="en-US" w:eastAsia="zh-CN"/>
        </w:rPr>
      </w:pPr>
      <w:r>
        <w:rPr>
          <w:rFonts w:hint="eastAsia" w:ascii="仿宋_GB2312" w:hAnsi="楷体" w:eastAsia="仿宋_GB2312"/>
          <w:sz w:val="32"/>
          <w:szCs w:val="32"/>
        </w:rPr>
        <w:t>（5）年度预算安排</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9万元。</w:t>
      </w:r>
    </w:p>
    <w:p>
      <w:pPr>
        <w:adjustRightInd w:val="0"/>
        <w:snapToGrid w:val="0"/>
        <w:spacing w:line="600" w:lineRule="exact"/>
        <w:rPr>
          <w:rFonts w:hint="default" w:ascii="仿宋_GB2312" w:hAnsi="楷体" w:eastAsia="仿宋_GB2312"/>
          <w:sz w:val="32"/>
          <w:szCs w:val="32"/>
          <w:lang w:val="en-US" w:eastAsia="zh-CN"/>
        </w:rPr>
      </w:pPr>
      <w:bookmarkStart w:id="0" w:name="_GoBack"/>
      <w:bookmarkEnd w:id="0"/>
      <w:r>
        <w:rPr>
          <w:rFonts w:hint="eastAsia" w:ascii="仿宋_GB2312" w:hAnsi="楷体" w:eastAsia="仿宋_GB2312"/>
          <w:sz w:val="32"/>
          <w:szCs w:val="32"/>
        </w:rPr>
        <w:t>（6）绩效目标和指标</w:t>
      </w:r>
      <w:r>
        <w:rPr>
          <w:rFonts w:hint="eastAsia" w:ascii="仿宋_GB2312" w:hAnsi="楷体" w:eastAsia="仿宋_GB2312"/>
          <w:sz w:val="32"/>
          <w:szCs w:val="32"/>
          <w:lang w:eastAsia="zh-CN"/>
        </w:rPr>
        <w:t>：详见下表。</w:t>
      </w:r>
    </w:p>
    <w:tbl>
      <w:tblPr>
        <w:tblStyle w:val="2"/>
        <w:tblpPr w:leftFromText="180" w:rightFromText="180" w:vertAnchor="text" w:horzAnchor="page" w:tblpX="138" w:tblpY="-13368"/>
        <w:tblOverlap w:val="never"/>
        <w:tblW w:w="11780" w:type="dxa"/>
        <w:tblInd w:w="0" w:type="dxa"/>
        <w:tblLayout w:type="autofit"/>
        <w:tblCellMar>
          <w:top w:w="0" w:type="dxa"/>
          <w:left w:w="0" w:type="dxa"/>
          <w:bottom w:w="0" w:type="dxa"/>
          <w:right w:w="0" w:type="dxa"/>
        </w:tblCellMar>
      </w:tblPr>
      <w:tblGrid>
        <w:gridCol w:w="574"/>
        <w:gridCol w:w="91"/>
        <w:gridCol w:w="483"/>
        <w:gridCol w:w="267"/>
        <w:gridCol w:w="893"/>
        <w:gridCol w:w="26"/>
        <w:gridCol w:w="1529"/>
        <w:gridCol w:w="1178"/>
        <w:gridCol w:w="372"/>
        <w:gridCol w:w="595"/>
        <w:gridCol w:w="425"/>
        <w:gridCol w:w="504"/>
        <w:gridCol w:w="656"/>
        <w:gridCol w:w="733"/>
        <w:gridCol w:w="1000"/>
        <w:gridCol w:w="511"/>
        <w:gridCol w:w="851"/>
        <w:gridCol w:w="1092"/>
      </w:tblGrid>
      <w:tr>
        <w:tblPrEx>
          <w:tblCellMar>
            <w:top w:w="0" w:type="dxa"/>
            <w:left w:w="0" w:type="dxa"/>
            <w:bottom w:w="0" w:type="dxa"/>
            <w:right w:w="0" w:type="dxa"/>
          </w:tblCellMar>
        </w:tblPrEx>
        <w:trPr>
          <w:trHeight w:val="690"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cs="宋体"/>
                <w:b/>
                <w:bCs/>
                <w:kern w:val="0"/>
                <w:sz w:val="32"/>
                <w:szCs w:val="32"/>
              </w:rPr>
            </w:pPr>
          </w:p>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35"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（2021年度）</w:t>
            </w:r>
          </w:p>
        </w:tc>
      </w:tr>
      <w:tr>
        <w:tblPrEx>
          <w:tblCellMar>
            <w:top w:w="0" w:type="dxa"/>
            <w:left w:w="0" w:type="dxa"/>
            <w:bottom w:w="0" w:type="dxa"/>
            <w:right w:w="0" w:type="dxa"/>
          </w:tblCellMar>
        </w:tblPrEx>
        <w:trPr>
          <w:trHeight w:val="455" w:hRule="atLeast"/>
        </w:trPr>
        <w:tc>
          <w:tcPr>
            <w:tcW w:w="665"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50"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1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2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8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11"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851"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092" w:type="dxa"/>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79"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446"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中文域名注册管理工作</w:t>
            </w:r>
          </w:p>
        </w:tc>
      </w:tr>
      <w:tr>
        <w:tblPrEx>
          <w:tblCellMar>
            <w:top w:w="0" w:type="dxa"/>
            <w:left w:w="0" w:type="dxa"/>
            <w:bottom w:w="0" w:type="dxa"/>
            <w:right w:w="0" w:type="dxa"/>
          </w:tblCellMar>
        </w:tblPrEx>
        <w:trPr>
          <w:trHeight w:val="479"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60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9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79"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60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9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79" w:hRule="atLeast"/>
        </w:trPr>
        <w:tc>
          <w:tcPr>
            <w:tcW w:w="2334"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27</w:t>
            </w:r>
          </w:p>
        </w:tc>
        <w:tc>
          <w:tcPr>
            <w:tcW w:w="2900" w:type="dxa"/>
            <w:gridSpan w:val="4"/>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9</w:t>
            </w:r>
          </w:p>
        </w:tc>
      </w:tr>
      <w:tr>
        <w:tblPrEx>
          <w:tblCellMar>
            <w:top w:w="0" w:type="dxa"/>
            <w:left w:w="0" w:type="dxa"/>
            <w:bottom w:w="0" w:type="dxa"/>
            <w:right w:w="0" w:type="dxa"/>
          </w:tblCellMar>
        </w:tblPrEx>
        <w:trPr>
          <w:trHeight w:val="479"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27</w:t>
            </w:r>
          </w:p>
        </w:tc>
        <w:tc>
          <w:tcPr>
            <w:tcW w:w="2900" w:type="dxa"/>
            <w:gridSpan w:val="4"/>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9</w:t>
            </w:r>
          </w:p>
        </w:tc>
      </w:tr>
      <w:tr>
        <w:tblPrEx>
          <w:tblCellMar>
            <w:top w:w="0" w:type="dxa"/>
            <w:left w:w="0" w:type="dxa"/>
            <w:bottom w:w="0" w:type="dxa"/>
            <w:right w:w="0" w:type="dxa"/>
          </w:tblCellMar>
        </w:tblPrEx>
        <w:trPr>
          <w:trHeight w:val="479"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900" w:type="dxa"/>
            <w:gridSpan w:val="4"/>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79"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85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534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136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目标1：每年，市直机关事业单位中文域名全覆盖，注册率达到100%。</w:t>
            </w:r>
          </w:p>
        </w:tc>
        <w:tc>
          <w:tcPr>
            <w:tcW w:w="534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目标1：2021年，市直机关事业单位中文域名全覆盖，注册率达到100%。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660"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4"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绩效标准</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65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指标1：中文域名注册量</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根据机关事业</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单位总量调整</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指标1：中文域名注册量</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2021年约280家</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280家</w:t>
            </w:r>
          </w:p>
        </w:tc>
      </w:tr>
      <w:tr>
        <w:tblPrEx>
          <w:tblCellMar>
            <w:top w:w="0" w:type="dxa"/>
            <w:left w:w="0" w:type="dxa"/>
            <w:bottom w:w="0" w:type="dxa"/>
            <w:right w:w="0" w:type="dxa"/>
          </w:tblCellMar>
        </w:tblPrEx>
        <w:trPr>
          <w:trHeight w:val="65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质量指标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指标1：中文域名注册率</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注册率100%</w:t>
            </w: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质量指标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指标1：中文域名注册率</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注册率100%</w:t>
            </w:r>
          </w:p>
        </w:tc>
      </w:tr>
      <w:tr>
        <w:tblPrEx>
          <w:tblCellMar>
            <w:top w:w="0" w:type="dxa"/>
            <w:left w:w="0" w:type="dxa"/>
            <w:bottom w:w="0" w:type="dxa"/>
            <w:right w:w="0" w:type="dxa"/>
          </w:tblCellMar>
        </w:tblPrEx>
        <w:trPr>
          <w:trHeight w:val="65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时效指标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指标1：续费完成时间</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每年</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12月</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时效指标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指标1：续费完成时间</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2021年12月</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7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成本指标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指标1：中文域名使用费</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成本指标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指标1：中文域名使用费</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r>
      <w:tr>
        <w:tblPrEx>
          <w:tblCellMar>
            <w:top w:w="0" w:type="dxa"/>
            <w:left w:w="0" w:type="dxa"/>
            <w:bottom w:w="0" w:type="dxa"/>
            <w:right w:w="0" w:type="dxa"/>
          </w:tblCellMar>
        </w:tblPrEx>
        <w:trPr>
          <w:trHeight w:val="66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5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55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2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73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36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0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6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5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指标1：机关事业单位网站挂标</w:t>
            </w:r>
          </w:p>
        </w:tc>
        <w:tc>
          <w:tcPr>
            <w:tcW w:w="15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完成</w:t>
            </w:r>
          </w:p>
        </w:tc>
        <w:tc>
          <w:tcPr>
            <w:tcW w:w="10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7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指标1：机关事业单位网站挂标</w:t>
            </w:r>
          </w:p>
        </w:tc>
        <w:tc>
          <w:tcPr>
            <w:tcW w:w="13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机关事业单位网站全部加挂标识，2021年约200家</w:t>
            </w:r>
          </w:p>
        </w:tc>
        <w:tc>
          <w:tcPr>
            <w:tcW w:w="10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200家</w:t>
            </w:r>
          </w:p>
        </w:tc>
      </w:tr>
      <w:tr>
        <w:tblPrEx>
          <w:tblCellMar>
            <w:top w:w="0" w:type="dxa"/>
            <w:left w:w="0" w:type="dxa"/>
            <w:bottom w:w="0" w:type="dxa"/>
            <w:right w:w="0" w:type="dxa"/>
          </w:tblCellMar>
        </w:tblPrEx>
        <w:trPr>
          <w:trHeight w:val="66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5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5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7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3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7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55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指标1：市直机关事业单位满意度</w:t>
            </w:r>
          </w:p>
        </w:tc>
        <w:tc>
          <w:tcPr>
            <w:tcW w:w="15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7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指标1：市直机关事业单位满意度</w:t>
            </w:r>
          </w:p>
        </w:tc>
        <w:tc>
          <w:tcPr>
            <w:tcW w:w="13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1A12"/>
    <w:rsid w:val="00EB6281"/>
    <w:rsid w:val="059B12D9"/>
    <w:rsid w:val="12922A51"/>
    <w:rsid w:val="36AA1A12"/>
    <w:rsid w:val="36DA642D"/>
    <w:rsid w:val="68D4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2021-03-10T09:42:00Z</dcterms:created>
  <dc:creator>Administrator</dc:creator>
  <cp:lastModifiedBy>Tookie</cp:lastModifiedBy>
  <dcterms:modified xsi:type="dcterms:W3CDTF">2021-03-11T01:52:35Z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